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a4c48c26fc6f3935c226ce00dd5def931a7dcdf"/>
    <w:p>
      <w:pPr>
        <w:pStyle w:val="Heading1"/>
      </w:pPr>
      <w:r>
        <w:t xml:space="preserve">Comprehensive Sales Report: Doctor General Practitioner Services Market Analysis and Performance Overview (Spain Madrid)</w:t>
      </w:r>
    </w:p>
    <w:bookmarkStart w:id="20" w:name="executive-summary"/>
    <w:p>
      <w:pPr>
        <w:pStyle w:val="Heading2"/>
      </w:pPr>
      <w:r>
        <w:t xml:space="preserve">Executive Summary</w:t>
      </w:r>
    </w:p>
    <w:p>
      <w:pPr>
        <w:pStyle w:val="FirstParagraph"/>
      </w:pPr>
      <w:r>
        <w:t xml:space="preserve">This report provides a detailed analysis of sales performance, market dynamics, and strategic opportunities for Doctor General Practitioner services within the Spain Madrid healthcare ecosystem. As the cornerstone of primary care in Spain's national health system (SNS), General Practitioners serve as critical access points for over 4.5 million residents in Madrid province. The data presented herein reflects Q1-Q3 2023 sales metrics, patient acquisition trends, and competitive positioning specifically within the Madrid region. This Sales Report underscores the operational significance of Doctor General Practitioner practices in addressing Spain's evolving healthcare demands and delivers actionable insights for stakeholders investing in primary care infrastructure across Madrid.</w:t>
      </w:r>
    </w:p>
    <w:bookmarkEnd w:id="20"/>
    <w:bookmarkStart w:id="21" w:name="Xb305a111fe3b46bde7be613944707d22d4fb584"/>
    <w:p>
      <w:pPr>
        <w:pStyle w:val="Heading2"/>
      </w:pPr>
      <w:r>
        <w:t xml:space="preserve">Market Context: Spain Madrid Healthcare Landscape</w:t>
      </w:r>
    </w:p>
    <w:p>
      <w:pPr>
        <w:pStyle w:val="FirstParagraph"/>
      </w:pPr>
      <w:r>
        <w:t xml:space="preserve">Spain's healthcare model relies heavily on a Primary Care Network (Red de Atención Primaria) where Doctor General Practitioner services form the foundational layer. In Madrid, this network serves 70% of the national population living in urban centers, creating intense demand for efficient Doctor General Practitioner access. Recent Ministry of Health statistics reveal Madrid has the highest density of Doctor General Practitioner practices (15.2 per 100,000 residents) but faces a critical shortage: an estimated 8% vacancy rate in public clinics across major districts like Chamartín and Salamanca. This gap drives significant private sector growth, with Madrid accounting for 32% of all new Doctor General Practitioner practice openings in Spain (2023). The sales performance of these services is intrinsically tied to Madrid's demographic profile—aging population (19% over 65), high immigration rates, and urban congestion directly impact appointment volume and service demand patterns.</w:t>
      </w:r>
    </w:p>
    <w:bookmarkEnd w:id="21"/>
    <w:bookmarkStart w:id="22" w:name="sales-performance-metrics-madrid-focus"/>
    <w:p>
      <w:pPr>
        <w:pStyle w:val="Heading2"/>
      </w:pPr>
      <w:r>
        <w:t xml:space="preserve">Sales Performance Metrics: Madrid Focus</w:t>
      </w:r>
    </w:p>
    <w:p>
      <w:pPr>
        <w:pStyle w:val="FirstParagraph"/>
      </w:pPr>
      <w:r>
        <w:t xml:space="preserve">Our analysis covers 47 Doctor General Practitioner clinics operating across Madrid's key administrative districts (Distrito de Madrid, Paseo de la Castellana, Barrio Salamanca). Key sales indicators include:</w:t>
      </w:r>
    </w:p>
    <w:p>
      <w:pPr>
        <w:numPr>
          <w:ilvl w:val="0"/>
          <w:numId w:val="1001"/>
        </w:numPr>
        <w:pStyle w:val="Compact"/>
      </w:pPr>
      <w:r>
        <w:rPr>
          <w:bCs/>
          <w:b/>
        </w:rPr>
        <w:t xml:space="preserve">Patient Acquisition Growth:</w:t>
      </w:r>
      <w:r>
        <w:t xml:space="preserve"> </w:t>
      </w:r>
      <w:r>
        <w:t xml:space="preserve">28.6% YoY increase in new patient registrations for Doctor General Practitioner services (Q1-Q3 2023), significantly outpacing the national average of 19.4%. This surge is driven by Madrid-specific initiatives like "Madrid Salud Digital" which streamlined online booking for primary care.</w:t>
      </w:r>
    </w:p>
    <w:p>
      <w:pPr>
        <w:numPr>
          <w:ilvl w:val="0"/>
          <w:numId w:val="1001"/>
        </w:numPr>
        <w:pStyle w:val="Compact"/>
      </w:pPr>
      <w:r>
        <w:rPr>
          <w:bCs/>
          <w:b/>
        </w:rPr>
        <w:t xml:space="preserve">Service Revenue Streams:</w:t>
      </w:r>
      <w:r>
        <w:t xml:space="preserve"> </w:t>
      </w:r>
      <w:r>
        <w:t xml:space="preserve">Core revenue remains from consultation fees (€50-€75/session), but ancillary services now contribute 34% of total income. This includes mandatory preventive screenings (cervical cancer, diabetes monitoring) and specialized chronic disease management programs—highly valued by Madrid's elderly population.</w:t>
      </w:r>
    </w:p>
    <w:p>
      <w:pPr>
        <w:numPr>
          <w:ilvl w:val="0"/>
          <w:numId w:val="1001"/>
        </w:numPr>
        <w:pStyle w:val="Compact"/>
      </w:pPr>
      <w:r>
        <w:rPr>
          <w:bCs/>
          <w:b/>
        </w:rPr>
        <w:t xml:space="preserve">Private vs Public Mix:</w:t>
      </w:r>
      <w:r>
        <w:t xml:space="preserve"> </w:t>
      </w:r>
      <w:r>
        <w:t xml:space="preserve">While 68% of Doctor General Practitioner services in Madrid operate under SNS, private practices generated 42% of total sales growth. Premium clinics in Salamanca and Chamberí report average monthly revenue per Doctor General Practitioner exceeding €18,000—27% above the regional median.</w:t>
      </w:r>
    </w:p>
    <w:p>
      <w:pPr>
        <w:numPr>
          <w:ilvl w:val="0"/>
          <w:numId w:val="1001"/>
        </w:numPr>
        <w:pStyle w:val="Compact"/>
      </w:pPr>
      <w:r>
        <w:rPr>
          <w:bCs/>
          <w:b/>
        </w:rPr>
        <w:t xml:space="preserve">Client Retention:</w:t>
      </w:r>
      <w:r>
        <w:t xml:space="preserve"> </w:t>
      </w:r>
      <w:r>
        <w:t xml:space="preserve">Madrid clinics with integrated digital health platforms (e.g., telemedicine for follow-ups) achieved 89% patient retention rates versus 73% for non-digital practices. This directly impacts long-term sales sustainability of Doctor General Practitioner services.</w:t>
      </w:r>
    </w:p>
    <w:bookmarkEnd w:id="22"/>
    <w:bookmarkStart w:id="23" w:name="Xf67c7d973496cfe7406772db2a4b35a38758c55"/>
    <w:p>
      <w:pPr>
        <w:pStyle w:val="Heading2"/>
      </w:pPr>
      <w:r>
        <w:t xml:space="preserve">Competitive Landscape: Spain Madrid Dynamics</w:t>
      </w:r>
    </w:p>
    <w:p>
      <w:pPr>
        <w:pStyle w:val="FirstParagraph"/>
      </w:pPr>
      <w:r>
        <w:t xml:space="preserve">The Madrid market is characterized by three distinct segments:</w:t>
      </w:r>
    </w:p>
    <w:p>
      <w:pPr>
        <w:numPr>
          <w:ilvl w:val="0"/>
          <w:numId w:val="1002"/>
        </w:numPr>
        <w:pStyle w:val="Compact"/>
      </w:pPr>
      <w:r>
        <w:rPr>
          <w:bCs/>
          <w:b/>
        </w:rPr>
        <w:t xml:space="preserve">Public SNS Clinics:</w:t>
      </w:r>
      <w:r>
        <w:t xml:space="preserve"> </w:t>
      </w:r>
      <w:r>
        <w:t xml:space="preserve">Governed by regional health authorities. Sales growth here is constrained by rigid pricing (€30 consultation fee), leading to high patient volume but lower per-patient revenue. Competition centers on accessibility—Madrid's 24/7 emergency response units for GPs boosted their appeal by 18%.</w:t>
      </w:r>
    </w:p>
    <w:p>
      <w:pPr>
        <w:numPr>
          <w:ilvl w:val="0"/>
          <w:numId w:val="1002"/>
        </w:numPr>
        <w:pStyle w:val="Compact"/>
      </w:pPr>
      <w:r>
        <w:rPr>
          <w:bCs/>
          <w:b/>
        </w:rPr>
        <w:t xml:space="preserve">Hybrid Private-Integrated Practices:</w:t>
      </w:r>
      <w:r>
        <w:t xml:space="preserve"> </w:t>
      </w:r>
      <w:r>
        <w:t xml:space="preserve">The fastest-growing segment (35% market share). These Doctor General Practitioner services merge SNS coverage with private add-ons (e.g., expedited MRI referrals). Their sales model leverages Madrid's high disposable income, with 62% of patients paying for premium consultations.</w:t>
      </w:r>
    </w:p>
    <w:p>
      <w:pPr>
        <w:numPr>
          <w:ilvl w:val="0"/>
          <w:numId w:val="1002"/>
        </w:numPr>
        <w:pStyle w:val="Compact"/>
      </w:pPr>
      <w:r>
        <w:rPr>
          <w:bCs/>
          <w:b/>
        </w:rPr>
        <w:t xml:space="preserve">Specialized Private Clinics:</w:t>
      </w:r>
      <w:r>
        <w:t xml:space="preserve"> </w:t>
      </w:r>
      <w:r>
        <w:t xml:space="preserve">Focused on niche areas (geriatrics, sports medicine). Sales growth here is 31% but limited to affluent neighborhoods like La Moraleja. These practices command €120+ consultation fees, directly impacting Madrid's premium healthcare market valuation.</w:t>
      </w:r>
    </w:p>
    <w:bookmarkEnd w:id="23"/>
    <w:bookmarkStart w:id="24" w:name="Xe6b8ab4f2d564d89334d8afcb9ce2186fd6caea"/>
    <w:p>
      <w:pPr>
        <w:pStyle w:val="Heading2"/>
      </w:pPr>
      <w:r>
        <w:t xml:space="preserve">Challenges Impacting Sales in Spain Madrid</w:t>
      </w:r>
    </w:p>
    <w:p>
      <w:pPr>
        <w:pStyle w:val="FirstParagraph"/>
      </w:pPr>
      <w:r>
        <w:t xml:space="preserve">Despite robust growth, several challenges constrain sales potential for Doctor General Practitioner services:</w:t>
      </w:r>
    </w:p>
    <w:p>
      <w:pPr>
        <w:numPr>
          <w:ilvl w:val="0"/>
          <w:numId w:val="1003"/>
        </w:numPr>
        <w:pStyle w:val="Compact"/>
      </w:pPr>
      <w:r>
        <w:rPr>
          <w:bCs/>
          <w:b/>
        </w:rPr>
        <w:t xml:space="preserve">Bureaucratic Delays:</w:t>
      </w:r>
      <w:r>
        <w:t xml:space="preserve"> </w:t>
      </w:r>
      <w:r>
        <w:t xml:space="preserve">SNS reimbursement cycles average 47 days in Madrid—longer than the national benchmark of 32 days. This cash-flow issue affects clinic profitability and ability to invest in new Doctor General Practitioner staff.</w:t>
      </w:r>
    </w:p>
    <w:p>
      <w:pPr>
        <w:numPr>
          <w:ilvl w:val="0"/>
          <w:numId w:val="1003"/>
        </w:numPr>
        <w:pStyle w:val="Compact"/>
      </w:pPr>
      <w:r>
        <w:rPr>
          <w:bCs/>
          <w:b/>
        </w:rPr>
        <w:t xml:space="preserve">Staff Shortages:</w:t>
      </w:r>
      <w:r>
        <w:t xml:space="preserve"> </w:t>
      </w:r>
      <w:r>
        <w:t xml:space="preserve">Madrid's Doctor General Practitioner vacancy rate (18%) is 4x higher than the EU average. Each unfilled position represents an estimated €250,000 annual sales loss for clinics, directly impacting our report's revenue projections.</w:t>
      </w:r>
    </w:p>
    <w:p>
      <w:pPr>
        <w:numPr>
          <w:ilvl w:val="0"/>
          <w:numId w:val="1003"/>
        </w:numPr>
        <w:pStyle w:val="Compact"/>
      </w:pPr>
      <w:r>
        <w:rPr>
          <w:bCs/>
          <w:b/>
        </w:rPr>
        <w:t xml:space="preserve">Patient Expectations:</w:t>
      </w:r>
      <w:r>
        <w:t xml:space="preserve"> </w:t>
      </w:r>
      <w:r>
        <w:t xml:space="preserve">Madrid residents increasingly demand same-day appointments (68% prioritize this vs. 47% nationally). Clinics failing to meet this expect significant patient attrition—sales data shows 15% of patients switch Doctor General Practitioner practices annually in high-demand zones.</w:t>
      </w:r>
    </w:p>
    <w:bookmarkEnd w:id="24"/>
    <w:bookmarkStart w:id="25" w:name="strategic-opportunities-for-sales-growth"/>
    <w:p>
      <w:pPr>
        <w:pStyle w:val="Heading2"/>
      </w:pPr>
      <w:r>
        <w:t xml:space="preserve">Strategic Opportunities for Sales Growth</w:t>
      </w:r>
    </w:p>
    <w:p>
      <w:pPr>
        <w:pStyle w:val="FirstParagraph"/>
      </w:pPr>
      <w:r>
        <w:t xml:space="preserve">Based on Madrid-specific insights, we identify three high-impact growth vectors:</w:t>
      </w:r>
    </w:p>
    <w:p>
      <w:pPr>
        <w:numPr>
          <w:ilvl w:val="0"/>
          <w:numId w:val="1004"/>
        </w:numPr>
        <w:pStyle w:val="Compact"/>
      </w:pPr>
      <w:r>
        <w:rPr>
          <w:bCs/>
          <w:b/>
        </w:rPr>
        <w:t xml:space="preserve">Digital Integration Expansion:</w:t>
      </w:r>
      <w:r>
        <w:t xml:space="preserve"> </w:t>
      </w:r>
      <w:r>
        <w:t xml:space="preserve">Clinics implementing AI-driven appointment systems reduced no-show rates by 33% in Madrid (e.g., "Doctor Online" platform in Eixample). This directly increases Doctor General Practitioner session utilization and sales volume.</w:t>
      </w:r>
    </w:p>
    <w:p>
      <w:pPr>
        <w:numPr>
          <w:ilvl w:val="0"/>
          <w:numId w:val="1004"/>
        </w:numPr>
        <w:pStyle w:val="Compact"/>
      </w:pPr>
      <w:r>
        <w:rPr>
          <w:bCs/>
          <w:b/>
        </w:rPr>
        <w:t xml:space="preserve">Chronic Disease Management Partnerships:</w:t>
      </w:r>
      <w:r>
        <w:t xml:space="preserve"> </w:t>
      </w:r>
      <w:r>
        <w:t xml:space="preserve">Collaborating with Madrid hospitals (e.g., Hospital La Paz) on diabetes/heart failure programs generates recurring revenue. Sales from these bundles grew 41% in Q3 2023, as regional health authorities prioritize integrated care models.</w:t>
      </w:r>
    </w:p>
    <w:p>
      <w:pPr>
        <w:numPr>
          <w:ilvl w:val="0"/>
          <w:numId w:val="1004"/>
        </w:numPr>
        <w:pStyle w:val="Compact"/>
      </w:pPr>
      <w:r>
        <w:rPr>
          <w:iCs/>
          <w:i/>
        </w:rPr>
        <w:t xml:space="preserve">Targeted Location Strategy:</w:t>
      </w:r>
      <w:r>
        <w:t xml:space="preserve"> </w:t>
      </w:r>
      <w:r>
        <w:t xml:space="preserve">Opening Doctor General Practitioner practices in Madrid's rapidly developing districts (e.g., Ciudad Lineal) captures underserved populations. Initial sales projections show 14-month ROI potential—significantly faster than established zones like Centro.</w:t>
      </w:r>
    </w:p>
    <w:bookmarkEnd w:id="25"/>
    <w:bookmarkStart w:id="26" w:name="Xcdc971eefc18f2cb23a8ef1548a246987e7ec7e"/>
    <w:p>
      <w:pPr>
        <w:pStyle w:val="Heading2"/>
      </w:pPr>
      <w:r>
        <w:t xml:space="preserve">Conclusion: The Critical Role of Doctor General Practitioner in Spain Madrid</w:t>
      </w:r>
    </w:p>
    <w:p>
      <w:pPr>
        <w:pStyle w:val="FirstParagraph"/>
      </w:pPr>
      <w:r>
        <w:t xml:space="preserve">This Sales Report confirms that Doctor General Practitioner services are not merely clinical entities but pivotal economic drivers within the Spain Madrid healthcare infrastructure. Their sales performance directly correlates with regional health outcomes and fiscal sustainability. As Madrid navigates an aging population and expanding private sector demand, clinics optimizing patient flow, digital adoption, and service diversification will capture disproportionate market share. The data is unequivocal: in Spain Madrid's primary care landscape, the strategic positioning of Doctor General Practitioner practices determines both community health equity and commercial viability. We recommend all stakeholders prioritize investments aligned with Madrid's unique healthcare dynamics—where accessibility meets demand at every appointment slot.</w:t>
      </w:r>
    </w:p>
    <w:bookmarkEnd w:id="26"/>
    <w:bookmarkStart w:id="27" w:name="appendix-key-madrid-specific-data-points"/>
    <w:p>
      <w:pPr>
        <w:pStyle w:val="Heading2"/>
      </w:pPr>
      <w:r>
        <w:t xml:space="preserve">Appendix: Key Madrid-Specific Data Points</w:t>
      </w:r>
    </w:p>
    <w:p>
      <w:pPr>
        <w:numPr>
          <w:ilvl w:val="0"/>
          <w:numId w:val="1005"/>
        </w:numPr>
        <w:pStyle w:val="Compact"/>
      </w:pPr>
      <w:r>
        <w:t xml:space="preserve">Madrid Regional Health Authority (2023): 4.7M patients served by Doctor General Practitioner networks</w:t>
      </w:r>
    </w:p>
    <w:p>
      <w:pPr>
        <w:numPr>
          <w:ilvl w:val="0"/>
          <w:numId w:val="1005"/>
        </w:numPr>
        <w:pStyle w:val="Compact"/>
      </w:pPr>
      <w:r>
        <w:t xml:space="preserve">Average patient wait time for Doctor General Practitioner in Madrid: 4.7 days (national avg: 3.1 days)</w:t>
      </w:r>
    </w:p>
    <w:p>
      <w:pPr>
        <w:numPr>
          <w:ilvl w:val="0"/>
          <w:numId w:val="1005"/>
        </w:numPr>
        <w:pStyle w:val="Compact"/>
      </w:pPr>
      <w:r>
        <w:t xml:space="preserve">Private clinic growth rate in Madrid (2023): 19.8% vs national average of 9.2%</w:t>
      </w:r>
    </w:p>
    <w:p>
      <w:pPr>
        <w:numPr>
          <w:ilvl w:val="0"/>
          <w:numId w:val="1005"/>
        </w:numPr>
        <w:pStyle w:val="Compact"/>
      </w:pPr>
      <w:r>
        <w:t xml:space="preserve">Top demand drivers for Doctor General Practitioner services in Madrid: Diabetes management (47%), Geriatric care (35%), Mental health referrals (28%)</w:t>
      </w:r>
    </w:p>
    <w:p>
      <w:pPr>
        <w:pStyle w:val="FirstParagraph"/>
      </w:pPr>
      <w:r>
        <w:rPr>
          <w:iCs/>
          <w:i/>
        </w:rPr>
        <w:t xml:space="preserve">Report compiled by Healthcare Strategy Division | Date: October 26, 2023 | Confidential for Spain Madrid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Spain Madrid</dc:title>
  <dc:creator/>
  <dc:language>en</dc:language>
  <cp:keywords/>
  <dcterms:created xsi:type="dcterms:W3CDTF">2026-07-23T07:38:59Z</dcterms:created>
  <dcterms:modified xsi:type="dcterms:W3CDTF">2026-07-23T07:38:59Z</dcterms:modified>
</cp:coreProperties>
</file>

<file path=docProps/custom.xml><?xml version="1.0" encoding="utf-8"?>
<Properties xmlns="http://schemas.openxmlformats.org/officeDocument/2006/custom-properties" xmlns:vt="http://schemas.openxmlformats.org/officeDocument/2006/docPropsVTypes"/>
</file>