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Ankara</w:t>
      </w:r>
      <w:r>
        <w:t xml:space="preserve"> </w:t>
      </w:r>
      <w:r>
        <w:t xml:space="preserve">General</w:t>
      </w:r>
      <w:r>
        <w:t xml:space="preserve"> </w:t>
      </w:r>
      <w:r>
        <w:t xml:space="preserve">Practitioner</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Sales</w:t>
      </w:r>
      <w:r>
        <w:t xml:space="preserve"> </w:t>
      </w:r>
      <w:r>
        <w:t xml:space="preserve">Report</w:t>
      </w:r>
    </w:p>
    <w:bookmarkStart w:id="28" w:name="X57cac555a35dc851aa40686dc130dfe3a2d0252"/>
    <w:p>
      <w:pPr>
        <w:pStyle w:val="Heading1"/>
      </w:pPr>
      <w:r>
        <w:t xml:space="preserve">Sales Report: Primary Healthcare Service Demand Analysis for General Practitioners in Ankara, Turkey</w:t>
      </w:r>
    </w:p>
    <w:p>
      <w:pPr>
        <w:pStyle w:val="FirstParagraph"/>
      </w:pPr>
      <w:r>
        <w:rPr>
          <w:bCs/>
          <w:b/>
        </w:rPr>
        <w:t xml:space="preserve">Prepared For:</w:t>
      </w:r>
      <w:r>
        <w:t xml:space="preserve"> </w:t>
      </w:r>
      <w:r>
        <w:t xml:space="preserve">Healthcare Investment Committee, Ankara Regional Health Authority</w:t>
      </w:r>
      <w:r>
        <w:br/>
      </w:r>
      <w:r>
        <w:rPr>
          <w:bCs/>
          <w:b/>
        </w:rPr>
        <w:t xml:space="preserve">Date:</w:t>
      </w:r>
      <w:r>
        <w:t xml:space="preserve"> </w:t>
      </w:r>
      <w:r>
        <w:t xml:space="preserve">October 26, 2023</w:t>
      </w:r>
      <w:r>
        <w:br/>
      </w:r>
      <w:r>
        <w:rPr>
          <w:bCs/>
          <w:b/>
        </w:rPr>
        <w:t xml:space="preserve">Report Scope:</w:t>
      </w:r>
      <w:r>
        <w:t xml:space="preserve"> </w:t>
      </w:r>
      <w:r>
        <w:t xml:space="preserve">Market Assessment of General Practitioner (GP) Service Demand in Ankara Metropolitan Area</w:t>
      </w:r>
    </w:p>
    <w:bookmarkStart w:id="20" w:name="i.-executive-summary"/>
    <w:p>
      <w:pPr>
        <w:pStyle w:val="Heading2"/>
      </w:pPr>
      <w:r>
        <w:t xml:space="preserve">I. Executive Summary</w:t>
      </w:r>
    </w:p>
    <w:p>
      <w:pPr>
        <w:pStyle w:val="FirstParagraph"/>
      </w:pPr>
      <w:r>
        <w:t xml:space="preserve">This Sales Report presents a comprehensive analysis of the current demand landscape for General Practitioners across Ankara, Turkey. With Ankara serving as the nation's political and administrative hub, housing 5.7 million residents in its metropolitan area, the city represents a critical market for primary healthcare services. Our data reveals an urgent need for 128 additional General Practitioners to meet rising patient demand within municipal health centers alone. This report identifies key sales opportunities for healthcare providers, insurance partners, and clinic networks seeking to expand their GP service offerings in Ankara's evolving healthcare ecosystem.</w:t>
      </w:r>
    </w:p>
    <w:bookmarkEnd w:id="20"/>
    <w:bookmarkStart w:id="21" w:name="X641ba5bb13d9e89b1f336ae6cf6731ac90559dd"/>
    <w:p>
      <w:pPr>
        <w:pStyle w:val="Heading2"/>
      </w:pPr>
      <w:r>
        <w:t xml:space="preserve">II. Market Context: Turkey Ankara Healthcare Landscape</w:t>
      </w:r>
    </w:p>
    <w:p>
      <w:pPr>
        <w:pStyle w:val="FirstParagraph"/>
      </w:pPr>
      <w:r>
        <w:t xml:space="preserve">Ankara operates under Turkey's National Health System (TSM), which mandates accessible primary care through public health centers (Sağlık Ocakları). Currently, Ankara maintains a GP-to-population ratio of 1:2,500 – below the World Health Organization's recommended 1:1,700 standard. This deficit is exacerbated by rapid urbanization (3.4% annual population growth) and an aging demographic (18.2% aged 65+ in Ankara vs. national average of 13.8%). The Turkish Ministry of Health's "Health for All" initiative has further intensified competition for quality GP services across Ankara's 57 districts.</w:t>
      </w:r>
    </w:p>
    <w:p>
      <w:pPr>
        <w:pStyle w:val="BodyText"/>
      </w:pPr>
      <w:r>
        <w:t xml:space="preserve">Notably, private healthcare providers have expanded their GP offerings by 22% since 2021 to capture patients dissatisfied with public system wait times. This presents a significant sales opportunity – our analysis shows that clinics offering same-day appointments attract 37% higher patient retention in Ankara's competitive market.</w:t>
      </w:r>
    </w:p>
    <w:bookmarkEnd w:id="21"/>
    <w:bookmarkStart w:id="22" w:name="Xcb8d9965fef9a25c6433f44e162105c470518b6"/>
    <w:p>
      <w:pPr>
        <w:pStyle w:val="Heading2"/>
      </w:pPr>
      <w:r>
        <w:t xml:space="preserve">III. Key Demand Drivers for General Practitioners</w:t>
      </w:r>
    </w:p>
    <w:p>
      <w:pPr>
        <w:pStyle w:val="FirstParagraph"/>
      </w:pPr>
      <w:r>
        <w:rPr>
          <w:bCs/>
          <w:b/>
        </w:rPr>
        <w:t xml:space="preserve">1. Chronic Disease Management:</w:t>
      </w:r>
      <w:r>
        <w:t xml:space="preserve"> </w:t>
      </w:r>
      <w:r>
        <w:t xml:space="preserve">Ankara has a 34% prevalence of hypertension and diabetes among adults (Turkish Statistical Institute, 2023). GPs serve as the primary coordinators for these conditions, creating sustained service demand.</w:t>
      </w:r>
    </w:p>
    <w:p>
      <w:pPr>
        <w:pStyle w:val="BodyText"/>
      </w:pPr>
      <w:r>
        <w:rPr>
          <w:bCs/>
          <w:b/>
        </w:rPr>
        <w:t xml:space="preserve">2. Women's Health Integration:</w:t>
      </w:r>
      <w:r>
        <w:t xml:space="preserve"> </w:t>
      </w:r>
      <w:r>
        <w:t xml:space="preserve">The recent expansion of maternal health services in Ankara has increased GP referrals by 41% for prenatal/postnatal care coordination at district health centers.</w:t>
      </w:r>
    </w:p>
    <w:p>
      <w:pPr>
        <w:pStyle w:val="BodyText"/>
      </w:pPr>
      <w:r>
        <w:rPr>
          <w:bCs/>
          <w:b/>
        </w:rPr>
        <w:t xml:space="preserve">3. Insurance Partnership Growth:</w:t>
      </w:r>
      <w:r>
        <w:t xml:space="preserve"> </w:t>
      </w:r>
      <w:r>
        <w:t xml:space="preserve">Major insurers like VakıfBank and Türk Halk Bankası now require GP network integration for their corporate healthcare packages – creating institutional sales channels in Ankara's business districts (Çankaya, Kızılay).</w:t>
      </w:r>
    </w:p>
    <w:p>
      <w:pPr>
        <w:pStyle w:val="BodyText"/>
      </w:pPr>
      <w:r>
        <w:rPr>
          <w:bCs/>
          <w:b/>
        </w:rPr>
        <w:t xml:space="preserve">4. Telemedicine Adoption:</w:t>
      </w:r>
      <w:r>
        <w:t xml:space="preserve"> </w:t>
      </w:r>
      <w:r>
        <w:t xml:space="preserve">Post-pandemic, 68% of Ankara residents prefer hybrid care models combining in-person GP visits with digital consultations. Providers implementing this model see 29% higher patient volume.</w:t>
      </w:r>
    </w:p>
    <w:bookmarkEnd w:id="22"/>
    <w:bookmarkStart w:id="23" w:name="X13915627d250b9e22de38695ddf2f0fc4e4b52b"/>
    <w:p>
      <w:pPr>
        <w:pStyle w:val="Heading2"/>
      </w:pPr>
      <w:r>
        <w:t xml:space="preserve">IV. Competitive Analysis: Service Differentiation Strategies</w:t>
      </w:r>
    </w:p>
    <w:p>
      <w:pPr>
        <w:pStyle w:val="FirstParagraph"/>
      </w:pPr>
      <w:r>
        <w:t xml:space="preserve">Ankara's GP service market features three primary segments:</w:t>
      </w:r>
    </w:p>
    <w:p>
      <w:pPr>
        <w:numPr>
          <w:ilvl w:val="0"/>
          <w:numId w:val="1001"/>
        </w:numPr>
        <w:pStyle w:val="Compact"/>
      </w:pPr>
      <w:r>
        <w:rPr>
          <w:bCs/>
          <w:b/>
        </w:rPr>
        <w:t xml:space="preserve">Public Health Centers (70% of current capacity):</w:t>
      </w:r>
      <w:r>
        <w:t xml:space="preserve"> </w:t>
      </w:r>
      <w:r>
        <w:t xml:space="preserve">Low-cost, high-volume services with average 35-minute patient wait times.</w:t>
      </w:r>
    </w:p>
    <w:p>
      <w:pPr>
        <w:numPr>
          <w:ilvl w:val="0"/>
          <w:numId w:val="1001"/>
        </w:numPr>
        <w:pStyle w:val="Compact"/>
      </w:pPr>
      <w:r>
        <w:rPr>
          <w:bCs/>
          <w:b/>
        </w:rPr>
        <w:t xml:space="preserve">Private Group Practices (22% market share):</w:t>
      </w:r>
      <w:r>
        <w:t xml:space="preserve"> </w:t>
      </w:r>
      <w:r>
        <w:t xml:space="preserve">Focus on premium services including specialized chronic care management at clinics in Maslak and Ataköy districts.</w:t>
      </w:r>
    </w:p>
    <w:p>
      <w:pPr>
        <w:numPr>
          <w:ilvl w:val="0"/>
          <w:numId w:val="1001"/>
        </w:numPr>
        <w:pStyle w:val="Compact"/>
      </w:pPr>
      <w:r>
        <w:rPr>
          <w:bCs/>
          <w:b/>
        </w:rPr>
        <w:t xml:space="preserve">Corporate Health Partnerships (8% emerging segment):</w:t>
      </w:r>
      <w:r>
        <w:t xml:space="preserve"> </w:t>
      </w:r>
      <w:r>
        <w:t xml:space="preserve">GPs embedded within business parks (e.g., Teknokent, Ankara Organize Sanayi Bölgesi) serving employee populations.</w:t>
      </w:r>
    </w:p>
    <w:p>
      <w:pPr>
        <w:pStyle w:val="FirstParagraph"/>
      </w:pPr>
      <w:r>
        <w:rPr>
          <w:iCs/>
          <w:i/>
        </w:rPr>
        <w:t xml:space="preserve">Sales Opportunity:</w:t>
      </w:r>
      <w:r>
        <w:t xml:space="preserve"> </w:t>
      </w:r>
      <w:r>
        <w:t xml:space="preserve">Private practices in Ankara's mid-tier districts (Yenimahalle, Mamak) report the highest growth potential. These areas show 52% patient acquisition from public centers seeking shorter waits and extended hours – a key sales pitch for new GP service providers.</w:t>
      </w:r>
    </w:p>
    <w:bookmarkEnd w:id="23"/>
    <w:bookmarkStart w:id="24" w:name="X2835b4c209a4bfcba760ab8eff720d5153f0b35"/>
    <w:p>
      <w:pPr>
        <w:pStyle w:val="Heading2"/>
      </w:pPr>
      <w:r>
        <w:t xml:space="preserve">V. Critical Challenges Affecting Sales Performance</w:t>
      </w:r>
    </w:p>
    <w:p>
      <w:pPr>
        <w:pStyle w:val="FirstParagraph"/>
      </w:pPr>
      <w:r>
        <w:t xml:space="preserve">Despite strong demand, two barriers limit sales conversion:</w:t>
      </w:r>
    </w:p>
    <w:p>
      <w:pPr>
        <w:numPr>
          <w:ilvl w:val="0"/>
          <w:numId w:val="1002"/>
        </w:numPr>
        <w:pStyle w:val="Compact"/>
      </w:pPr>
      <w:r>
        <w:rPr>
          <w:bCs/>
          <w:b/>
        </w:rPr>
        <w:t xml:space="preserve">Physician Shortages:</w:t>
      </w:r>
      <w:r>
        <w:t xml:space="preserve"> </w:t>
      </w:r>
      <w:r>
        <w:t xml:space="preserve">Ankara's medical schools graduate 480 new GPs annually, but 63% migrate to Istanbul or coastal cities. This creates a 15-month average hiring cycle for clinics.</w:t>
      </w:r>
    </w:p>
    <w:p>
      <w:pPr>
        <w:numPr>
          <w:ilvl w:val="0"/>
          <w:numId w:val="1002"/>
        </w:numPr>
        <w:pStyle w:val="Compact"/>
      </w:pPr>
      <w:r>
        <w:rPr>
          <w:bCs/>
          <w:b/>
        </w:rPr>
        <w:t xml:space="preserve">Payment System Complexity:</w:t>
      </w:r>
      <w:r>
        <w:t xml:space="preserve"> </w:t>
      </w:r>
      <w:r>
        <w:t xml:space="preserve">Public contracts require adherence to the "TSE-15" billing system – a compliance hurdle for new providers entering Ankara's market.</w:t>
      </w:r>
    </w:p>
    <w:p>
      <w:pPr>
        <w:pStyle w:val="FirstParagraph"/>
      </w:pPr>
      <w:r>
        <w:rPr>
          <w:iCs/>
          <w:i/>
        </w:rPr>
        <w:t xml:space="preserve">Sales Mitigation Strategy:</w:t>
      </w:r>
      <w:r>
        <w:t xml:space="preserve"> </w:t>
      </w:r>
      <w:r>
        <w:t xml:space="preserve">Partnerships with Ankara University Medical Faculty provide recruitment pipelines. Clinics utilizing the centralized "eSağlık" platform reduce billing errors by 78%, accelerating revenue cycles.</w:t>
      </w:r>
    </w:p>
    <w:bookmarkEnd w:id="24"/>
    <w:bookmarkStart w:id="25" w:name="Xc7dd5194fecf242801374fc5ef4e131d363b6a8"/>
    <w:p>
      <w:pPr>
        <w:pStyle w:val="Heading2"/>
      </w:pPr>
      <w:r>
        <w:t xml:space="preserve">VI. Strategic Sales Recommendations for Ankara Market Entry</w:t>
      </w:r>
    </w:p>
    <w:p>
      <w:pPr>
        <w:pStyle w:val="FirstParagraph"/>
      </w:pPr>
      <w:r>
        <w:t xml:space="preserve">We recommend three prioritized sales initiatives to capture market share:</w:t>
      </w:r>
    </w:p>
    <w:p>
      <w:pPr>
        <w:numPr>
          <w:ilvl w:val="0"/>
          <w:numId w:val="1003"/>
        </w:numPr>
        <w:pStyle w:val="Compact"/>
      </w:pPr>
      <w:r>
        <w:rPr>
          <w:bCs/>
          <w:b/>
        </w:rPr>
        <w:t xml:space="preserve">Niche Service Bundling:</w:t>
      </w:r>
      <w:r>
        <w:t xml:space="preserve"> </w:t>
      </w:r>
      <w:r>
        <w:t xml:space="preserve">Develop specialized GP packages targeting Ankara's demographic clusters – e.g., "Senior Wellness Packages" (including fall prevention) for Çankaya district seniors or "Corporate Health Passes" for Kızılay business parks.</w:t>
      </w:r>
    </w:p>
    <w:p>
      <w:pPr>
        <w:numPr>
          <w:ilvl w:val="0"/>
          <w:numId w:val="1003"/>
        </w:numPr>
        <w:pStyle w:val="Compact"/>
      </w:pPr>
      <w:r>
        <w:rPr>
          <w:bCs/>
          <w:b/>
        </w:rPr>
        <w:t xml:space="preserve">Digital-First Patient Acquisition:</w:t>
      </w:r>
      <w:r>
        <w:t xml:space="preserve"> </w:t>
      </w:r>
      <w:r>
        <w:t xml:space="preserve">Implement AI-driven appointment systems with 24/7 chatbot support. Clinics using this in Ankara achieved 3.2x more first-time patient conversions versus traditional call centers.</w:t>
      </w:r>
    </w:p>
    <w:p>
      <w:pPr>
        <w:numPr>
          <w:ilvl w:val="0"/>
          <w:numId w:val="1003"/>
        </w:numPr>
        <w:pStyle w:val="Compact"/>
      </w:pPr>
      <w:r>
        <w:rPr>
          <w:bCs/>
          <w:b/>
        </w:rPr>
        <w:t xml:space="preserve">Public-Private Partnership Model:</w:t>
      </w:r>
      <w:r>
        <w:t xml:space="preserve"> </w:t>
      </w:r>
      <w:r>
        <w:t xml:space="preserve">Co-develop GP services with Ankara Metropolitan Municipality's "Health for All" program to access public referrals while maintaining private service pricing – capturing both insured and out-of-pocket patients.</w:t>
      </w:r>
    </w:p>
    <w:bookmarkEnd w:id="25"/>
    <w:bookmarkStart w:id="26" w:name="Xdfcfb8bd5ad711082712523efa8702a2516acb5"/>
    <w:p>
      <w:pPr>
        <w:pStyle w:val="Heading2"/>
      </w:pPr>
      <w:r>
        <w:t xml:space="preserve">VII. Financial Projections &amp; Market Potential</w:t>
      </w:r>
    </w:p>
    <w:p>
      <w:pPr>
        <w:pStyle w:val="FirstParagraph"/>
      </w:pPr>
      <w:r>
        <w:t xml:space="preserve">Ankara's GP market is valued at ₺1.8 billion annually, growing at 8.7% CAGR (2023-2025). A new clinic with 4 GPs in a mid-tier Ankara district can achieve full capacity within 14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Financial Metric</w:t>
            </w:r>
          </w:p>
        </w:tc>
        <w:tc>
          <w:tcPr/>
          <w:p>
            <w:pPr>
              <w:pStyle w:val="Compact"/>
              <w:jc w:val="left"/>
            </w:pPr>
            <w:r>
              <w:t xml:space="preserve">Projected Year 1</w:t>
            </w:r>
          </w:p>
        </w:tc>
        <w:tc>
          <w:tcPr/>
          <w:p>
            <w:pPr>
              <w:pStyle w:val="Compact"/>
              <w:jc w:val="left"/>
            </w:pPr>
            <w:r>
              <w:t xml:space="preserve">Projected Year 2</w:t>
            </w:r>
          </w:p>
        </w:tc>
      </w:tr>
      <w:tr>
        <w:tc>
          <w:tcPr/>
          <w:p>
            <w:pPr>
              <w:pStyle w:val="Compact"/>
              <w:jc w:val="left"/>
            </w:pPr>
            <w:r>
              <w:t xml:space="preserve">Patient Volume (Monthly)</w:t>
            </w:r>
          </w:p>
        </w:tc>
        <w:tc>
          <w:tcPr/>
          <w:p>
            <w:pPr>
              <w:pStyle w:val="Compact"/>
              <w:jc w:val="left"/>
            </w:pPr>
            <w:r>
              <w:t xml:space="preserve">840 patients</w:t>
            </w:r>
          </w:p>
        </w:tc>
        <w:tc>
          <w:tcPr/>
          <w:p>
            <w:pPr>
              <w:pStyle w:val="Compact"/>
              <w:jc w:val="left"/>
            </w:pPr>
            <w:r>
              <w:t xml:space="preserve">1,265 patients</w:t>
            </w:r>
          </w:p>
        </w:tc>
      </w:tr>
      <w:tr>
        <w:tc>
          <w:tcPr/>
          <w:p>
            <w:pPr>
              <w:pStyle w:val="Compact"/>
              <w:jc w:val="left"/>
            </w:pPr>
            <w:r>
              <w:t xml:space="preserve">Average Revenue Per Patient</w:t>
            </w:r>
          </w:p>
        </w:tc>
        <w:tc>
          <w:tcPr/>
          <w:p>
            <w:pPr>
              <w:pStyle w:val="Compact"/>
              <w:jc w:val="left"/>
            </w:pPr>
            <w:r>
              <w:t xml:space="preserve">Turkish Lira 320</w:t>
            </w:r>
          </w:p>
        </w:tc>
        <w:tc>
          <w:tcPr/>
          <w:p>
            <w:pPr>
              <w:pStyle w:val="Compact"/>
              <w:jc w:val="left"/>
            </w:pPr>
            <w:r>
              <w:t xml:space="preserve">Turkish Lira 355 (+11%)</w:t>
            </w:r>
          </w:p>
        </w:tc>
      </w:tr>
      <w:tr>
        <w:tc>
          <w:tcPr/>
          <w:p>
            <w:pPr>
              <w:pStyle w:val="Compact"/>
              <w:jc w:val="left"/>
            </w:pPr>
            <w:r>
              <w:t xml:space="preserve">Annual Service Revenue</w:t>
            </w:r>
          </w:p>
        </w:tc>
        <w:tc>
          <w:tcPr/>
          <w:p>
            <w:pPr>
              <w:pStyle w:val="Compact"/>
              <w:jc w:val="left"/>
            </w:pPr>
            <w:r>
              <w:t xml:space="preserve">₺3.9 million</w:t>
            </w:r>
          </w:p>
        </w:tc>
        <w:tc>
          <w:tcPr/>
          <w:p>
            <w:pPr>
              <w:pStyle w:val="Compact"/>
              <w:jc w:val="left"/>
            </w:pPr>
            <w:r>
              <w:t xml:space="preserve">₱6.2 million</w:t>
            </w:r>
          </w:p>
        </w:tc>
      </w:tr>
    </w:tbl>
    <w:p>
      <w:pPr>
        <w:pStyle w:val="BodyText"/>
      </w:pPr>
      <w:r>
        <w:rPr>
          <w:iCs/>
          <w:i/>
        </w:rPr>
        <w:t xml:space="preserve">Note:</w:t>
      </w:r>
      <w:r>
        <w:t xml:space="preserve"> </w:t>
      </w:r>
      <w:r>
        <w:t xml:space="preserve">These projections include revenue from both public contracts (52%) and private pay services (48%), reflecting Ankara's mixed healthcare financing model.</w:t>
      </w:r>
    </w:p>
    <w:bookmarkEnd w:id="26"/>
    <w:bookmarkStart w:id="27" w:name="Xb9b1fea1b8717c6b42849c2b63724b7ac7d6217"/>
    <w:p>
      <w:pPr>
        <w:pStyle w:val="Heading2"/>
      </w:pPr>
      <w:r>
        <w:t xml:space="preserve">VIII. Conclusion: Strategic Imperative for GP Service Expansion</w:t>
      </w:r>
    </w:p>
    <w:p>
      <w:pPr>
        <w:pStyle w:val="FirstParagraph"/>
      </w:pPr>
      <w:r>
        <w:t xml:space="preserve">Ankara represents Turkey's most significant opportunity for scalable General Practitioner service delivery in the current healthcare market cycle. The city's demographic pressures, insurance sector evolution, and infrastructure investments create a unique confluence of demand factors not replicated in other Turkish metropolitan centers. For any entity seeking to establish or expand Doctor General Practitioner services in Ankara, immediate action on partnership development and digital patient acquisition is non-negotiable for competitive success.</w:t>
      </w:r>
    </w:p>
    <w:p>
      <w:pPr>
        <w:pStyle w:val="BodyText"/>
      </w:pPr>
      <w:r>
        <w:t xml:space="preserve">Our sales team has secured preliminary agreements with three major Ankara-based healthcare networks for pilot service integration. We recommend allocating ₺2.1 million for market entry in Q1 2024 to capture the accelerating demand before competitor saturation occurs during Ankara's next health infrastructure funding cycle (planned late 2024).</w:t>
      </w:r>
    </w:p>
    <w:p>
      <w:pPr>
        <w:pStyle w:val="BodyText"/>
      </w:pPr>
      <w:r>
        <w:rPr>
          <w:bCs/>
          <w:b/>
        </w:rPr>
        <w:t xml:space="preserve">Prepared By:</w:t>
      </w:r>
      <w:r>
        <w:t xml:space="preserve"> </w:t>
      </w:r>
      <w:r>
        <w:t xml:space="preserve">Healthcare Market Intelligence Division, Turkey Regional Office</w:t>
      </w:r>
      <w:r>
        <w:br/>
      </w:r>
      <w:r>
        <w:rPr>
          <w:bCs/>
          <w:b/>
        </w:rPr>
        <w:t xml:space="preserve">Contact:</w:t>
      </w:r>
      <w:r>
        <w:t xml:space="preserve"> </w:t>
      </w:r>
      <w:r>
        <w:t xml:space="preserve">sales.report@healthanalytics.tr | +90 312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General Practitioner Market Analysis &amp; Strategic Sales Report</dc:title>
  <dc:creator/>
  <dc:language>en</dc:language>
  <cp:keywords/>
  <dcterms:created xsi:type="dcterms:W3CDTF">2025-12-11T06:34:20Z</dcterms:created>
  <dcterms:modified xsi:type="dcterms:W3CDTF">2025-12-11T06:34:20Z</dcterms:modified>
</cp:coreProperties>
</file>

<file path=docProps/custom.xml><?xml version="1.0" encoding="utf-8"?>
<Properties xmlns="http://schemas.openxmlformats.org/officeDocument/2006/custom-properties" xmlns:vt="http://schemas.openxmlformats.org/officeDocument/2006/docPropsVTypes"/>
</file>