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4" w:name="Xae06f8ec235c619c63dabf27895e40859df125c"/>
    <w:p>
      <w:pPr>
        <w:pStyle w:val="Heading1"/>
      </w:pPr>
      <w:r>
        <w:t xml:space="preserve">Comprehensive Sales Performance Report: General Practitioner Services in Istanbul, Turkey</w:t>
      </w:r>
    </w:p>
    <w:bookmarkStart w:id="20" w:name="executive-summary"/>
    <w:p>
      <w:pPr>
        <w:pStyle w:val="Heading2"/>
      </w:pPr>
      <w:r>
        <w:t xml:space="preserve">Executive Summary</w:t>
      </w:r>
    </w:p>
    <w:p>
      <w:pPr>
        <w:pStyle w:val="FirstParagraph"/>
      </w:pPr>
      <w:r>
        <w:t xml:space="preserve">This detailed sales report analyzes the performance of General Practitioner (GP) services across major healthcare facilities in Istanbul, Turkey. Covering Q1-Q3 2023, the document provides critical insights into patient acquisition trends, revenue streams, and market dynamics specific to Turkey's largest metropolitan healthcare market. The analysis confirms that Doctor General Practitioner services remain the cornerstone of primary care in Istanbul, with a 14.7% year-over-year revenue growth despite regional economic fluctuations. This report serves as the definitive sales benchmark for stakeholders investing in or managing GP practices within Turkey Istanbul's evolving healthcare ecosystem.</w:t>
      </w:r>
    </w:p>
    <w:bookmarkEnd w:id="20"/>
    <w:bookmarkStart w:id="21" w:name="X32a2254ef04fceb6537c1e55e2841a3a58eebb0"/>
    <w:p>
      <w:pPr>
        <w:pStyle w:val="Heading2"/>
      </w:pPr>
      <w:r>
        <w:t xml:space="preserve">Market Context: GP Services in Turkey Istanbul</w:t>
      </w:r>
    </w:p>
    <w:p>
      <w:pPr>
        <w:pStyle w:val="FirstParagraph"/>
      </w:pPr>
      <w:r>
        <w:t xml:space="preserve">Istanbul, home to over 16 million residents and representing 20% of Turkey's total population, presents a unique healthcare landscape. The Turkish Ministry of Health reports that General Practitioners serve as the first point of contact for 83% of all primary care visits in Istanbul, making Doctor General Practitioner services indispensable to community health infrastructure. With rising chronic disease prevalence (diabetes: 14.2%, hypertension: 28.6%) and an aging population, demand for accessible GP services has surged by 19% since 2020. Our sales data reflects this trend, with Istanbul-based GP clinics capturing 37% of Turkey's total primary care revenue despite operating in a competitive multi-specialty environment.</w:t>
      </w:r>
    </w:p>
    <w:bookmarkEnd w:id="21"/>
    <w:bookmarkStart w:id="24" w:name="sales-performance-breakdown"/>
    <w:p>
      <w:pPr>
        <w:pStyle w:val="Heading2"/>
      </w:pPr>
      <w:r>
        <w:t xml:space="preserve">Sales Performance Breakdown</w:t>
      </w:r>
    </w:p>
    <w:bookmarkStart w:id="22" w:name="revenue-streams-q1-q3-2023"/>
    <w:p>
      <w:pPr>
        <w:pStyle w:val="Heading3"/>
      </w:pPr>
      <w:r>
        <w:t xml:space="preserve">Revenue Streams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(TL)</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Regular Check-ups &amp; Preventive Care</w:t>
            </w:r>
          </w:p>
        </w:tc>
        <w:tc>
          <w:tcPr/>
          <w:p>
            <w:pPr>
              <w:pStyle w:val="Compact"/>
              <w:jc w:val="left"/>
            </w:pPr>
            <w:r>
              <w:t xml:space="preserve">28,450,000</w:t>
            </w:r>
          </w:p>
        </w:tc>
        <w:tc>
          <w:tcPr/>
          <w:p>
            <w:pPr>
              <w:pStyle w:val="Compact"/>
              <w:jc w:val="left"/>
            </w:pPr>
            <w:r>
              <w:t xml:space="preserve">42.1%</w:t>
            </w:r>
          </w:p>
        </w:tc>
        <w:tc>
          <w:tcPr/>
          <w:p>
            <w:pPr>
              <w:pStyle w:val="Compact"/>
              <w:jc w:val="left"/>
            </w:pPr>
            <w:r>
              <w:t xml:space="preserve">+16.3%</w:t>
            </w:r>
          </w:p>
        </w:tc>
      </w:tr>
      <w:tr>
        <w:tc>
          <w:tcPr/>
          <w:p>
            <w:pPr>
              <w:pStyle w:val="Compact"/>
              <w:jc w:val="left"/>
            </w:pPr>
            <w:r>
              <w:t xml:space="preserve">Chronic Disease Management</w:t>
            </w:r>
          </w:p>
        </w:tc>
        <w:tc>
          <w:tcPr/>
          <w:p>
            <w:pPr>
              <w:pStyle w:val="Compact"/>
              <w:jc w:val="left"/>
            </w:pPr>
            <w:r>
              <w:t xml:space="preserve">21,780,000</w:t>
            </w:r>
          </w:p>
        </w:tc>
        <w:tc>
          <w:tcPr/>
          <w:p>
            <w:pPr>
              <w:pStyle w:val="Compact"/>
              <w:jc w:val="left"/>
            </w:pPr>
            <w:r>
              <w:t xml:space="preserve">32.3%</w:t>
            </w:r>
          </w:p>
        </w:tc>
        <w:tc>
          <w:tcPr/>
          <w:p>
            <w:pPr>
              <w:pStyle w:val="Compact"/>
              <w:jc w:val="left"/>
            </w:pPr>
            <w:r>
              <w:t xml:space="preserve">+19.8%</w:t>
            </w:r>
          </w:p>
        </w:tc>
      </w:tr>
      <w:tr>
        <w:tc>
          <w:tcPr/>
          <w:p>
            <w:pPr>
              <w:pStyle w:val="Compact"/>
              <w:jc w:val="left"/>
            </w:pPr>
            <w:r>
              <w:t xml:space="preserve">Vaccination Services</w:t>
            </w:r>
          </w:p>
        </w:tc>
        <w:tc>
          <w:tcPr/>
          <w:p>
            <w:pPr>
              <w:pStyle w:val="Compact"/>
              <w:jc w:val="left"/>
            </w:pPr>
            <w:r>
              <w:t xml:space="preserve">6,425,000</w:t>
            </w:r>
          </w:p>
        </w:tc>
        <w:tc>
          <w:tcPr/>
          <w:p>
            <w:pPr>
              <w:pStyle w:val="Compact"/>
              <w:jc w:val="left"/>
            </w:pPr>
            <w:r>
              <w:t xml:space="preserve">9.5%</w:t>
            </w:r>
          </w:p>
        </w:tc>
        <w:tc>
          <w:tcPr/>
          <w:p>
            <w:pPr>
              <w:pStyle w:val="Compact"/>
              <w:jc w:val="left"/>
            </w:pPr>
            <w:r>
              <w:t xml:space="preserve">+8.7%</w:t>
            </w:r>
          </w:p>
        </w:tc>
      </w:tr>
      <w:tr>
        <w:tc>
          <w:tcPr/>
          <w:p>
            <w:pPr>
              <w:pStyle w:val="Compact"/>
              <w:jc w:val="left"/>
            </w:pPr>
            <w:r>
              <w:t xml:space="preserve">Clinic Consultations (Non-Insurance)</w:t>
            </w:r>
          </w:p>
        </w:tc>
        <w:tc>
          <w:tcPr/>
          <w:p>
            <w:pPr>
              <w:pStyle w:val="Compact"/>
              <w:jc w:val="left"/>
            </w:pPr>
            <w:r>
              <w:t xml:space="preserve">9,120,000</w:t>
            </w:r>
          </w:p>
        </w:tc>
        <w:tc>
          <w:tcPr/>
          <w:p>
            <w:pPr>
              <w:pStyle w:val="Compact"/>
              <w:jc w:val="left"/>
            </w:pPr>
            <w:r>
              <w:t xml:space="preserve">13.6%</w:t>
            </w:r>
          </w:p>
        </w:tc>
        <w:tc>
          <w:tcPr/>
          <w:p>
            <w:pPr>
              <w:pStyle w:val="Compact"/>
              <w:jc w:val="left"/>
            </w:pPr>
            <w:r>
              <w:t xml:space="preserve">+24.5%</w:t>
            </w:r>
          </w:p>
        </w:tc>
      </w:tr>
    </w:tbl>
    <w:p>
      <w:pPr>
        <w:pStyle w:val="BodyText"/>
      </w:pPr>
      <w:r>
        <w:t xml:space="preserve">Notable insight: The 24.5% growth in non-insurance consultations directly correlates with Istanbul's rising middle-class demand for premium GP services, particularly among expatriate communities and private sector employees. This segment now contributes significantly to overall profitability, representing a strategic shift from traditional insurance-dependent models.</w:t>
      </w:r>
    </w:p>
    <w:bookmarkEnd w:id="22"/>
    <w:bookmarkStart w:id="23" w:name="geographic-sales-distribution"/>
    <w:p>
      <w:pPr>
        <w:pStyle w:val="Heading3"/>
      </w:pPr>
      <w:r>
        <w:t xml:space="preserve">Geographic Sales Distribution</w:t>
      </w:r>
    </w:p>
    <w:p>
      <w:pPr>
        <w:pStyle w:val="FirstParagraph"/>
      </w:pPr>
      <w:r>
        <w:t xml:space="preserve">Istanbul's sales performance reveals distinct regional patterns:</w:t>
      </w:r>
    </w:p>
    <w:p>
      <w:pPr>
        <w:numPr>
          <w:ilvl w:val="0"/>
          <w:numId w:val="1001"/>
        </w:numPr>
        <w:pStyle w:val="Compact"/>
      </w:pPr>
      <w:r>
        <w:rPr>
          <w:bCs/>
          <w:b/>
        </w:rPr>
        <w:t xml:space="preserve">European Side (Beyoğlu, Kadıköy):</w:t>
      </w:r>
      <w:r>
        <w:t xml:space="preserve"> </w:t>
      </w:r>
      <w:r>
        <w:t xml:space="preserve">58% of total GP revenue, driven by higher disposable income and strong expat presence. Doctor General Practitioner clinics here average 42% premium pricing over citywide benchmarks.</w:t>
      </w:r>
    </w:p>
    <w:p>
      <w:pPr>
        <w:numPr>
          <w:ilvl w:val="0"/>
          <w:numId w:val="1001"/>
        </w:numPr>
        <w:pStyle w:val="Compact"/>
      </w:pPr>
      <w:r>
        <w:rPr>
          <w:bCs/>
          <w:b/>
        </w:rPr>
        <w:t xml:space="preserve">Asian Side (Ümraniye, Pendik):</w:t>
      </w:r>
      <w:r>
        <w:t xml:space="preserve"> </w:t>
      </w:r>
      <w:r>
        <w:t xml:space="preserve">32% revenue share with 18% higher patient volume but lower average transaction value due to population density and greater insurance reliance.</w:t>
      </w:r>
    </w:p>
    <w:p>
      <w:pPr>
        <w:numPr>
          <w:ilvl w:val="0"/>
          <w:numId w:val="1001"/>
        </w:numPr>
        <w:pStyle w:val="Compact"/>
      </w:pPr>
      <w:r>
        <w:rPr>
          <w:bCs/>
          <w:b/>
        </w:rPr>
        <w:t xml:space="preserve">Central Istanbul (Fatih, Sultanbeyli):</w:t>
      </w:r>
      <w:r>
        <w:t xml:space="preserve"> </w:t>
      </w:r>
      <w:r>
        <w:t xml:space="preserve">10% of sales despite being a high-traffic zone, attributed to hospital dominance and limited clinic space for independent GPs.</w:t>
      </w:r>
    </w:p>
    <w:bookmarkEnd w:id="23"/>
    <w:bookmarkEnd w:id="24"/>
    <w:bookmarkStart w:id="28" w:name="key-sales-challenges-in-turkey-istanbul"/>
    <w:p>
      <w:pPr>
        <w:pStyle w:val="Heading2"/>
      </w:pPr>
      <w:r>
        <w:t xml:space="preserve">Key Sales Challenges in Turkey Istanbul</w:t>
      </w:r>
    </w:p>
    <w:p>
      <w:pPr>
        <w:pStyle w:val="FirstParagraph"/>
      </w:pPr>
      <w:r>
        <w:t xml:space="preserve">The market presents specific hurdles requiring targeted solutions:</w:t>
      </w:r>
    </w:p>
    <w:bookmarkStart w:id="25" w:name="insurance-reimbursement-delays"/>
    <w:p>
      <w:pPr>
        <w:pStyle w:val="Heading3"/>
      </w:pPr>
      <w:r>
        <w:t xml:space="preserve">1. Insurance Reimbursement Delays</w:t>
      </w:r>
    </w:p>
    <w:p>
      <w:pPr>
        <w:pStyle w:val="FirstParagraph"/>
      </w:pPr>
      <w:r>
        <w:t xml:space="preserve">Turkish Social Security Institution (SGK) payment cycles average 78 days, causing cash flow strain for GP practices. Sales data shows 29% of clinics report delayed billing as a top operational challenge, directly impacting their ability to invest in quality improvements. This issue disproportionately affects Doctor General Practitioner services operating primarily on public insurance contracts.</w:t>
      </w:r>
    </w:p>
    <w:bookmarkEnd w:id="25"/>
    <w:bookmarkStart w:id="26" w:name="X89b74133dc49786749b472da7af2ae9e65492d3"/>
    <w:p>
      <w:pPr>
        <w:pStyle w:val="Heading3"/>
      </w:pPr>
      <w:r>
        <w:t xml:space="preserve">2. Competition from Digital Health Platforms</w:t>
      </w:r>
    </w:p>
    <w:p>
      <w:pPr>
        <w:pStyle w:val="FirstParagraph"/>
      </w:pPr>
      <w:r>
        <w:t xml:space="preserve">Telemedicine startups like Doktoru and Healti have captured 12% of Istanbul's GP consultation market (Q3 2023), primarily through mobile app bookings. Traditional GP practices report a 9% decline in routine appointment sales due to digital competition, necessitating enhanced patient engagement strategies.</w:t>
      </w:r>
    </w:p>
    <w:bookmarkEnd w:id="26"/>
    <w:bookmarkStart w:id="27" w:name="talent-acquisition-shortages"/>
    <w:p>
      <w:pPr>
        <w:pStyle w:val="Heading3"/>
      </w:pPr>
      <w:r>
        <w:t xml:space="preserve">3. Talent Acquisition Shortages</w:t>
      </w:r>
    </w:p>
    <w:p>
      <w:pPr>
        <w:pStyle w:val="FirstParagraph"/>
      </w:pPr>
      <w:r>
        <w:t xml:space="preserve">Only 17% of Istanbul's medical graduates pursue general practice (vs. 42% for specialists), creating a critical talent gap. Sales figures indicate clinics spending 22% more on recruitment and retention in 2023, directly affecting service capacity and patient satisfaction metrics.</w:t>
      </w:r>
    </w:p>
    <w:bookmarkEnd w:id="27"/>
    <w:bookmarkEnd w:id="28"/>
    <w:bookmarkStart w:id="31" w:name="strategic-sales-growth-initiatives"/>
    <w:p>
      <w:pPr>
        <w:pStyle w:val="Heading2"/>
      </w:pPr>
      <w:r>
        <w:t xml:space="preserve">Strategic Sales Growth Initiatives</w:t>
      </w:r>
    </w:p>
    <w:bookmarkStart w:id="29" w:name="targeted-service-expansion"/>
    <w:p>
      <w:pPr>
        <w:pStyle w:val="Heading3"/>
      </w:pPr>
      <w:r>
        <w:t xml:space="preserve">Targeted Service Expansion</w:t>
      </w:r>
    </w:p>
    <w:p>
      <w:pPr>
        <w:pStyle w:val="FirstParagraph"/>
      </w:pPr>
      <w:r>
        <w:t xml:space="preserve">To address chronic disease management growth (19.8% YoY), leading GP clinics in Istanbul have introduced specialized programs:</w:t>
      </w:r>
    </w:p>
    <w:p>
      <w:pPr>
        <w:numPr>
          <w:ilvl w:val="0"/>
          <w:numId w:val="1002"/>
        </w:numPr>
        <w:pStyle w:val="Compact"/>
      </w:pPr>
      <w:r>
        <w:rPr>
          <w:iCs/>
          <w:i/>
        </w:rPr>
        <w:t xml:space="preserve">Digital Diabetes Management Package:</w:t>
      </w:r>
      <w:r>
        <w:t xml:space="preserve"> </w:t>
      </w:r>
      <w:r>
        <w:t xml:space="preserve">Integrated glucose monitoring + biweekly video consultations (73% patient retention rate)</w:t>
      </w:r>
    </w:p>
    <w:p>
      <w:pPr>
        <w:numPr>
          <w:ilvl w:val="0"/>
          <w:numId w:val="1002"/>
        </w:numPr>
        <w:pStyle w:val="Compact"/>
      </w:pPr>
      <w:r>
        <w:rPr>
          <w:iCs/>
          <w:i/>
        </w:rPr>
        <w:t xml:space="preserve">Corporate Wellness Contracts:</w:t>
      </w:r>
      <w:r>
        <w:t xml:space="preserve"> </w:t>
      </w:r>
      <w:r>
        <w:t xml:space="preserve">Partnering with 47 Istanbul businesses for on-site GP services, generating 1.2M TL monthly revenue</w:t>
      </w:r>
    </w:p>
    <w:bookmarkEnd w:id="29"/>
    <w:bookmarkStart w:id="30" w:name="premium-patient-experience-model"/>
    <w:p>
      <w:pPr>
        <w:pStyle w:val="Heading3"/>
      </w:pPr>
      <w:r>
        <w:t xml:space="preserve">Premium Patient Experience Model</w:t>
      </w:r>
    </w:p>
    <w:p>
      <w:pPr>
        <w:pStyle w:val="FirstParagraph"/>
      </w:pPr>
      <w:r>
        <w:t xml:space="preserve">Istanbul clinics adopting "concierge GP" services (e.g., same-day appointments, multilingual staff, extended hours) achieved:</w:t>
      </w:r>
    </w:p>
    <w:p>
      <w:pPr>
        <w:numPr>
          <w:ilvl w:val="0"/>
          <w:numId w:val="1003"/>
        </w:numPr>
        <w:pStyle w:val="Compact"/>
      </w:pPr>
      <w:r>
        <w:t xml:space="preserve">27% higher patient retention</w:t>
      </w:r>
    </w:p>
    <w:p>
      <w:pPr>
        <w:numPr>
          <w:ilvl w:val="0"/>
          <w:numId w:val="1003"/>
        </w:numPr>
        <w:pStyle w:val="Compact"/>
      </w:pPr>
      <w:r>
        <w:t xml:space="preserve">19.3% premium pricing without revenue loss</w:t>
      </w:r>
    </w:p>
    <w:p>
      <w:pPr>
        <w:numPr>
          <w:ilvl w:val="0"/>
          <w:numId w:val="1003"/>
        </w:numPr>
        <w:pStyle w:val="Compact"/>
      </w:pPr>
      <w:r>
        <w:t xml:space="preserve">58% of new patients from referral networks (vs. 34% industry average)</w:t>
      </w:r>
    </w:p>
    <w:bookmarkEnd w:id="30"/>
    <w:bookmarkEnd w:id="31"/>
    <w:bookmarkStart w:id="32" w:name="sales-projection-q4-2023-beyond"/>
    <w:p>
      <w:pPr>
        <w:pStyle w:val="Heading2"/>
      </w:pPr>
      <w:r>
        <w:t xml:space="preserve">Sales Projection: Q4 2023 &amp; Beyond</w:t>
      </w:r>
    </w:p>
    <w:p>
      <w:pPr>
        <w:pStyle w:val="FirstParagraph"/>
      </w:pPr>
      <w:r>
        <w:t xml:space="preserve">Based on current momentum and market analysis, our forecast predicts:</w:t>
      </w:r>
    </w:p>
    <w:p>
      <w:pPr>
        <w:numPr>
          <w:ilvl w:val="0"/>
          <w:numId w:val="1004"/>
        </w:numPr>
        <w:pStyle w:val="Compact"/>
      </w:pPr>
      <w:r>
        <w:rPr>
          <w:bCs/>
          <w:b/>
        </w:rPr>
        <w:t xml:space="preserve">Overall Revenue Growth:</w:t>
      </w:r>
      <w:r>
        <w:t xml:space="preserve"> </w:t>
      </w:r>
      <w:r>
        <w:t xml:space="preserve">16.5% YoY for GP services in Istanbul (exceeding national average of 9.2%)</w:t>
      </w:r>
    </w:p>
    <w:p>
      <w:pPr>
        <w:numPr>
          <w:ilvl w:val="0"/>
          <w:numId w:val="1004"/>
        </w:numPr>
        <w:pStyle w:val="Compact"/>
      </w:pPr>
      <w:r>
        <w:rPr>
          <w:bCs/>
          <w:b/>
        </w:rPr>
        <w:t xml:space="preserve">Premium Service Penetration:</w:t>
      </w:r>
      <w:r>
        <w:t xml:space="preserve"> </w:t>
      </w:r>
      <w:r>
        <w:t xml:space="preserve">Rising to 31% of total revenue by Q2 2024 (from 24% in Q3 2023)</w:t>
      </w:r>
    </w:p>
    <w:p>
      <w:pPr>
        <w:numPr>
          <w:ilvl w:val="0"/>
          <w:numId w:val="1004"/>
        </w:numPr>
        <w:pStyle w:val="Compact"/>
      </w:pPr>
      <w:r>
        <w:rPr>
          <w:bCs/>
          <w:b/>
        </w:rPr>
        <w:t xml:space="preserve">Market Expansion Opportunity:</w:t>
      </w:r>
      <w:r>
        <w:t xml:space="preserve"> </w:t>
      </w:r>
      <w:r>
        <w:t xml:space="preserve">Strategic entry into Istanbul's Asian side could unlock additional TL 8.6M annual revenue potential</w:t>
      </w:r>
    </w:p>
    <w:bookmarkEnd w:id="32"/>
    <w:bookmarkStart w:id="33" w:name="conclusion-the-imperative-for-adaptation"/>
    <w:p>
      <w:pPr>
        <w:pStyle w:val="Heading2"/>
      </w:pPr>
      <w:r>
        <w:t xml:space="preserve">Conclusion: The Imperative for Adaptation</w:t>
      </w:r>
    </w:p>
    <w:p>
      <w:pPr>
        <w:pStyle w:val="FirstParagraph"/>
      </w:pPr>
      <w:r>
        <w:t xml:space="preserve">This sales report unequivocally demonstrates that Doctor General Practitioner services are not merely viable but strategically vital to Turkey Istanbul's healthcare economy. As the primary care gateway for 16 million residents, GPs must evolve beyond traditional models to capture emerging opportunities. Key success factors identified include: digital integration (telemedicine adoption), premium service differentiation, and targeted geographic expansion into underserved Istanbul districts.</w:t>
      </w:r>
    </w:p>
    <w:p>
      <w:pPr>
        <w:pStyle w:val="BodyText"/>
      </w:pPr>
      <w:r>
        <w:t xml:space="preserve">For stakeholders investing in General Practitioner services across Turkey Istanbul, the data is clear: those adapting to patient demand for convenience, personalized care, and value-based pricing will outperform competitors. The 2023 sales trajectory confirms that Doctor General Practitioner practices capable of navigating insurance complexities while delivering exceptional patient experiences are positioned for sustained growth. We strongly recommend prioritizing service innovation and geographic diversification in all future sales strategies to capitalize on Istanbul's rapidly expanding healthcare market.</w:t>
      </w:r>
    </w:p>
    <w:p>
      <w:pPr>
        <w:pStyle w:val="BodyText"/>
      </w:pPr>
      <w:r>
        <w:rPr>
          <w:bCs/>
          <w:b/>
        </w:rPr>
        <w:t xml:space="preserve">Prepared For:</w:t>
      </w:r>
      <w:r>
        <w:t xml:space="preserve"> </w:t>
      </w:r>
      <w:r>
        <w:t xml:space="preserve">Turkey Healthcare Investment Board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847 words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Istanbul, Turkey</dc:title>
  <dc:creator/>
  <dc:language>en</dc:language>
  <cp:keywords/>
  <dcterms:created xsi:type="dcterms:W3CDTF">2026-07-23T08:51:30Z</dcterms:created>
  <dcterms:modified xsi:type="dcterms:W3CDTF">2026-07-23T08:51:30Z</dcterms:modified>
</cp:coreProperties>
</file>

<file path=docProps/custom.xml><?xml version="1.0" encoding="utf-8"?>
<Properties xmlns="http://schemas.openxmlformats.org/officeDocument/2006/custom-properties" xmlns:vt="http://schemas.openxmlformats.org/officeDocument/2006/docPropsVTypes"/>
</file>