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7" w:name="X4e44577be00c385700d9ef5ffc2187903ab4001"/>
    <w:p>
      <w:pPr>
        <w:pStyle w:val="Heading1"/>
      </w:pPr>
      <w:r>
        <w:t xml:space="preserve">Sales Report for General Practitioner Recruitment in Abu Dhabi, United Arab Emirates</w:t>
      </w:r>
    </w:p>
    <w:p>
      <w:pPr>
        <w:pStyle w:val="FirstParagraph"/>
      </w:pPr>
      <w:r>
        <w:t xml:space="preserve">Prepared for Healthcare Sector Stakeholders | Q3 2024</w:t>
      </w:r>
    </w:p>
    <w:bookmarkStart w:id="20" w:name="executive-summary"/>
    <w:p>
      <w:pPr>
        <w:pStyle w:val="Heading2"/>
      </w:pPr>
      <w:r>
        <w:t xml:space="preserve">Executive Summary</w:t>
      </w:r>
    </w:p>
    <w:p>
      <w:pPr>
        <w:pStyle w:val="FirstParagraph"/>
      </w:pPr>
      <w:r>
        <w:t xml:space="preserve">This comprehensive Sales Report details the strategic demand, market dynamics, and growth opportunities for securing qualified Doctor General Practitioner (GP) professionals within the United Arab Emirates Abu Dhabi healthcare ecosystem. The Abu Dhabi Department of Health (DOH) has identified a critical need for 485 additional General Practitioners by 2026 to meet the Emirate's healthcare expansion goals under Vision 2030. Our sales pipeline demonstrates strong momentum, with a current conversion rate of 78% for confirmed Doctor General Practitioner placements across key Abu Dhabi facilities including Cleveland Clinic Abu Dhabi, Sheikh Khalifa Medical City (SKMC), and private networks like NMC Royal Hospital. This report confirms that targeted recruitment of Doctor General Practitioner talent remains the most impactful sales initiative for healthcare staffing firms operating in the United Arab Emirates Abu Dhabi market.</w:t>
      </w:r>
    </w:p>
    <w:bookmarkEnd w:id="20"/>
    <w:bookmarkStart w:id="21" w:name="X091d976c8c91e072d04db086abb26177e513629"/>
    <w:p>
      <w:pPr>
        <w:pStyle w:val="Heading2"/>
      </w:pPr>
      <w:r>
        <w:t xml:space="preserve">Market Analysis: Abu Dhabi Healthcare Demand Landscape</w:t>
      </w:r>
    </w:p>
    <w:p>
      <w:pPr>
        <w:pStyle w:val="FirstParagraph"/>
      </w:pPr>
      <w:r>
        <w:t xml:space="preserve">Abu Dhabi's rapidly growing population (exceeding 3.4 million residents) and influx of expatriates, combined with the Emirate's ambitious healthcare infrastructure investments, have created unprecedented demand for Doctor General Practitioner services. The United Arab Emirates Abu Dhabi government has allocated AED 12 billion ($3.27 billion) in the 2024 budget specifically for primary care expansion across public and private sectors. Current statistics reveal a GP-to-population ratio of 1:365 in Abu Dhabi, significantly below the WHO-recommended benchmark of 1:250.</w:t>
      </w:r>
    </w:p>
    <w:p>
      <w:pPr>
        <w:pStyle w:val="BodyText"/>
      </w:pPr>
      <w:r>
        <w:t xml:space="preserve">Key demand drivers include:</w:t>
      </w:r>
    </w:p>
    <w:p>
      <w:pPr>
        <w:numPr>
          <w:ilvl w:val="0"/>
          <w:numId w:val="1001"/>
        </w:numPr>
        <w:pStyle w:val="Compact"/>
      </w:pPr>
      <w:r>
        <w:rPr>
          <w:bCs/>
          <w:b/>
        </w:rPr>
        <w:t xml:space="preserve">New Residential Developments:</w:t>
      </w:r>
      <w:r>
        <w:t xml:space="preserve"> </w:t>
      </w:r>
      <w:r>
        <w:t xml:space="preserve">Projects like Al Raha Beach, Yas Island, and Saadiyat Island require integrated primary care clinics</w:t>
      </w:r>
    </w:p>
    <w:p>
      <w:pPr>
        <w:numPr>
          <w:ilvl w:val="0"/>
          <w:numId w:val="1001"/>
        </w:numPr>
        <w:pStyle w:val="Compact"/>
      </w:pPr>
      <w:r>
        <w:rPr>
          <w:bCs/>
          <w:b/>
        </w:rPr>
        <w:t xml:space="preserve">National Health Insurance Scheme (Mubadara):</w:t>
      </w:r>
      <w:r>
        <w:t xml:space="preserve"> </w:t>
      </w:r>
      <w:r>
        <w:t xml:space="preserve">Mandatory coverage for all residents has increased primary care utilization by 28% YoY</w:t>
      </w:r>
    </w:p>
    <w:p>
      <w:pPr>
        <w:numPr>
          <w:ilvl w:val="0"/>
          <w:numId w:val="1001"/>
        </w:numPr>
        <w:pStyle w:val="Compact"/>
      </w:pPr>
      <w:r>
        <w:rPr>
          <w:bCs/>
          <w:b/>
        </w:rPr>
        <w:t xml:space="preserve">Medical Tourism Growth:</w:t>
      </w:r>
      <w:r>
        <w:t xml:space="preserve"> </w:t>
      </w:r>
      <w:r>
        <w:t xml:space="preserve">Abu Dhabi aims to become the top destination in MENA for medical tourism, requiring robust GP networks for international patients</w:t>
      </w:r>
    </w:p>
    <w:p>
      <w:pPr>
        <w:numPr>
          <w:ilvl w:val="0"/>
          <w:numId w:val="1001"/>
        </w:numPr>
        <w:pStyle w:val="Compact"/>
      </w:pPr>
      <w:r>
        <w:rPr>
          <w:bCs/>
          <w:b/>
        </w:rPr>
        <w:t xml:space="preserve">Aging Population:</w:t>
      </w:r>
      <w:r>
        <w:t xml:space="preserve"> </w:t>
      </w:r>
      <w:r>
        <w:t xml:space="preserve">Over 15% of Abu Dhabi residents are aged 60+, increasing demand for chronic disease management by Doctor General Practitioner specialists</w:t>
      </w:r>
    </w:p>
    <w:bookmarkEnd w:id="21"/>
    <w:bookmarkStart w:id="22" w:name="X855e0cbac02f6f7b8c9951b8e0b12045d38829c"/>
    <w:p>
      <w:pPr>
        <w:pStyle w:val="Heading2"/>
      </w:pPr>
      <w:r>
        <w:t xml:space="preserve">Current Sales Performance &amp; Strategic Insights</w:t>
      </w:r>
    </w:p>
    <w:p>
      <w:pPr>
        <w:pStyle w:val="FirstParagraph"/>
      </w:pPr>
      <w:r>
        <w:t xml:space="preserve">Our sales team has achieved a 32% year-over-year increase in Doctor General Practitioner contracts within the United Arab Emirates Abu Dhabi market during Q3 2024.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GP Placements in Abu Dhabi</w:t>
            </w:r>
          </w:p>
        </w:tc>
        <w:tc>
          <w:tcPr/>
          <w:p>
            <w:pPr>
              <w:pStyle w:val="Compact"/>
              <w:jc w:val="left"/>
            </w:pPr>
            <w:r>
              <w:t xml:space="preserve">87</w:t>
            </w:r>
          </w:p>
        </w:tc>
        <w:tc>
          <w:tcPr/>
          <w:p>
            <w:pPr>
              <w:pStyle w:val="Compact"/>
              <w:jc w:val="left"/>
            </w:pPr>
            <w:r>
              <w:t xml:space="preserve">66</w:t>
            </w:r>
          </w:p>
        </w:tc>
        <w:tc>
          <w:tcPr/>
          <w:p>
            <w:pPr>
              <w:pStyle w:val="Compact"/>
              <w:jc w:val="left"/>
            </w:pPr>
            <w:r>
              <w:t xml:space="preserve">+31.8%</w:t>
            </w:r>
          </w:p>
        </w:tc>
      </w:tr>
      <w:tr>
        <w:tc>
          <w:tcPr/>
          <w:p>
            <w:pPr>
              <w:pStyle w:val="Compact"/>
              <w:jc w:val="left"/>
            </w:pPr>
            <w:r>
              <w:t xml:space="preserve">Average Contract Value (AED)</w:t>
            </w:r>
          </w:p>
        </w:tc>
        <w:tc>
          <w:tcPr/>
          <w:p>
            <w:pPr>
              <w:pStyle w:val="Compact"/>
              <w:jc w:val="left"/>
            </w:pPr>
            <w:r>
              <w:t xml:space="preserve">4,250,000</w:t>
            </w:r>
          </w:p>
        </w:tc>
        <w:tc>
          <w:tcPr/>
          <w:p>
            <w:pPr>
              <w:pStyle w:val="Compact"/>
              <w:jc w:val="left"/>
            </w:pPr>
            <w:r>
              <w:t xml:space="preserve">3,750,000</w:t>
            </w:r>
          </w:p>
        </w:tc>
        <w:tc>
          <w:tcPr/>
          <w:p>
            <w:pPr>
              <w:pStyle w:val="Compact"/>
              <w:jc w:val="left"/>
            </w:pPr>
            <w:r>
              <w:t xml:space="preserve">+13.3%</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+7.0%</w:t>
            </w:r>
          </w:p>
        </w:tc>
      </w:tr>
    </w:tbl>
    <w:bookmarkEnd w:id="22"/>
    <w:bookmarkStart w:id="23" w:name="X28a7c55e1c0b3e4b0bb4d6c1ab452c609e403af"/>
    <w:p>
      <w:pPr>
        <w:pStyle w:val="Heading2"/>
      </w:pPr>
      <w:r>
        <w:t xml:space="preserve">Critical Success Factors for Doctor General Practitioner Sales in Abu Dhabi</w:t>
      </w:r>
    </w:p>
    <w:p>
      <w:pPr>
        <w:pStyle w:val="FirstParagraph"/>
      </w:pPr>
      <w:r>
        <w:t xml:space="preserve">Sales success in the United Arab Emirates Abu Dhabi market hinges on addressing four non-negotiable requirements:</w:t>
      </w:r>
    </w:p>
    <w:p>
      <w:pPr>
        <w:numPr>
          <w:ilvl w:val="0"/>
          <w:numId w:val="1002"/>
        </w:numPr>
        <w:pStyle w:val="Compact"/>
      </w:pPr>
      <w:r>
        <w:rPr>
          <w:bCs/>
          <w:b/>
        </w:rPr>
        <w:t xml:space="preserve">HAAD Certification:</w:t>
      </w:r>
      <w:r>
        <w:t xml:space="preserve"> </w:t>
      </w:r>
      <w:r>
        <w:t xml:space="preserve">All Doctor General Practitioner candidates must hold valid HAAD (Abu Dhabi Health Services Company) licensing. Our sales team now verifies this in the initial screening process, eliminating 65% of unqualified candidates early in the pipeline.</w:t>
      </w:r>
    </w:p>
    <w:p>
      <w:pPr>
        <w:numPr>
          <w:ilvl w:val="0"/>
          <w:numId w:val="1002"/>
        </w:numPr>
        <w:pStyle w:val="Compact"/>
      </w:pPr>
      <w:r>
        <w:rPr>
          <w:bCs/>
          <w:b/>
        </w:rPr>
        <w:t xml:space="preserve">Cultural Integration Capability:</w:t>
      </w:r>
      <w:r>
        <w:t xml:space="preserve"> </w:t>
      </w:r>
      <w:r>
        <w:t xml:space="preserve">Successful placements require demonstrated experience working with diverse Emirati and international communities. We now mandate cultural sensitivity training for all GP candidates prior to interviews at Abu Dhabi facilities.</w:t>
      </w:r>
    </w:p>
    <w:p>
      <w:pPr>
        <w:numPr>
          <w:ilvl w:val="0"/>
          <w:numId w:val="1002"/>
        </w:numPr>
        <w:pStyle w:val="Compact"/>
      </w:pPr>
      <w:r>
        <w:rPr>
          <w:bCs/>
          <w:b/>
        </w:rPr>
        <w:t xml:space="preserve">Language Proficiency:</w:t>
      </w:r>
      <w:r>
        <w:t xml:space="preserve"> </w:t>
      </w:r>
      <w:r>
        <w:t xml:space="preserve">While English is the primary language of healthcare, Arabic fluency (A2 level minimum) is now a standard requirement for Doctor General Practitioner roles across Abu Dhabi public hospitals per DOH guidelines.</w:t>
      </w:r>
    </w:p>
    <w:p>
      <w:pPr>
        <w:numPr>
          <w:ilvl w:val="0"/>
          <w:numId w:val="1002"/>
        </w:numPr>
        <w:pStyle w:val="Compact"/>
      </w:pPr>
      <w:r>
        <w:rPr>
          <w:bCs/>
          <w:b/>
        </w:rPr>
        <w:t xml:space="preserve">Visa &amp; Accommodation Support:</w:t>
      </w:r>
      <w:r>
        <w:t xml:space="preserve"> </w:t>
      </w:r>
      <w:r>
        <w:t xml:space="preserve">97% of Abu Dhabi healthcare employers require full visa sponsorship and housing assistance. Our sales contracts now explicitly include these provisions, directly increasing conversion rates by 23%.</w:t>
      </w:r>
    </w:p>
    <w:bookmarkEnd w:id="23"/>
    <w:bookmarkStart w:id="24" w:name="competitive-positioning-in-abu-dhabi"/>
    <w:p>
      <w:pPr>
        <w:pStyle w:val="Heading2"/>
      </w:pPr>
      <w:r>
        <w:t xml:space="preserve">Competitive Positioning in Abu Dhabi</w:t>
      </w:r>
    </w:p>
    <w:p>
      <w:pPr>
        <w:pStyle w:val="FirstParagraph"/>
      </w:pPr>
      <w:r>
        <w:t xml:space="preserve">While several regional recruitment firms compete for Doctor General Practitioner placements in the United Arab Emirates Abu Dhabi, our strategic advantages include:</w:t>
      </w:r>
    </w:p>
    <w:p>
      <w:pPr>
        <w:numPr>
          <w:ilvl w:val="0"/>
          <w:numId w:val="1003"/>
        </w:numPr>
        <w:pStyle w:val="Compact"/>
      </w:pPr>
      <w:r>
        <w:rPr>
          <w:bCs/>
          <w:b/>
        </w:rPr>
        <w:t xml:space="preserve">Government Partnership:</w:t>
      </w:r>
      <w:r>
        <w:t xml:space="preserve"> </w:t>
      </w:r>
      <w:r>
        <w:t xml:space="preserve">Approved vendor status with Abu Dhabi Department of Health (DOH) for GP recruitment</w:t>
      </w:r>
    </w:p>
    <w:p>
      <w:pPr>
        <w:numPr>
          <w:ilvl w:val="0"/>
          <w:numId w:val="1003"/>
        </w:numPr>
        <w:pStyle w:val="Compact"/>
      </w:pPr>
      <w:r>
        <w:rPr>
          <w:bCs/>
          <w:b/>
        </w:rPr>
        <w:t xml:space="preserve">Native Arabic-Speaking Recruitment Team:</w:t>
      </w:r>
      <w:r>
        <w:t xml:space="preserve"> </w:t>
      </w:r>
      <w:r>
        <w:t xml:space="preserve">85% of our sales consultants are UAE nationals, facilitating better candidate communication</w:t>
      </w:r>
    </w:p>
    <w:p>
      <w:pPr>
        <w:numPr>
          <w:ilvl w:val="0"/>
          <w:numId w:val="1003"/>
        </w:numPr>
        <w:pStyle w:val="Compact"/>
      </w:pPr>
      <w:r>
        <w:rPr>
          <w:bCs/>
          <w:b/>
        </w:rPr>
        <w:t xml:space="preserve">Dedicated Abu Dhabi On-Site Liaison:</w:t>
      </w:r>
      <w:r>
        <w:t xml:space="preserve"> </w:t>
      </w:r>
      <w:r>
        <w:t xml:space="preserve">Our local office in Al Bateen provides immediate support for hospital visits and candidate assessments</w:t>
      </w:r>
    </w:p>
    <w:p>
      <w:pPr>
        <w:numPr>
          <w:ilvl w:val="0"/>
          <w:numId w:val="1003"/>
        </w:numPr>
        <w:pStyle w:val="Compact"/>
      </w:pPr>
      <w:r>
        <w:rPr>
          <w:bCs/>
          <w:b/>
        </w:rPr>
        <w:t xml:space="preserve">Tailored Compensation Packages:</w:t>
      </w:r>
      <w:r>
        <w:t xml:space="preserve"> </w:t>
      </w:r>
      <w:r>
        <w:t xml:space="preserve">We structure GP packages with housing allowances, school fees for dependents, and annual family visas – critical differentiators in Abu Dhabi's competitive market</w:t>
      </w:r>
    </w:p>
    <w:bookmarkEnd w:id="24"/>
    <w:bookmarkStart w:id="25" w:name="strategic-sales-recommendations-for-2025"/>
    <w:p>
      <w:pPr>
        <w:pStyle w:val="Heading2"/>
      </w:pPr>
      <w:r>
        <w:t xml:space="preserve">Strategic Sales Recommendations for 2025</w:t>
      </w:r>
    </w:p>
    <w:p>
      <w:pPr>
        <w:pStyle w:val="FirstParagraph"/>
      </w:pPr>
      <w:r>
        <w:t xml:space="preserve">Based on current market intelligence, we recommend the following priority actions to capture further growth in the Doctor General Practitioner sales pipeline for Abu Dhabi:</w:t>
      </w:r>
    </w:p>
    <w:p>
      <w:pPr>
        <w:numPr>
          <w:ilvl w:val="0"/>
          <w:numId w:val="1004"/>
        </w:numPr>
        <w:pStyle w:val="Compact"/>
      </w:pPr>
      <w:r>
        <w:rPr>
          <w:bCs/>
          <w:b/>
        </w:rPr>
        <w:t xml:space="preserve">Expand Specialist GP Recruitment:</w:t>
      </w:r>
      <w:r>
        <w:t xml:space="preserve"> </w:t>
      </w:r>
      <w:r>
        <w:t xml:space="preserve">Develop dedicated pipelines for pediatric and geriatric-focused Doctor General Practitioner talent to meet Abu Dhabi's aging population needs (15% growth expected by 2027)</w:t>
      </w:r>
    </w:p>
    <w:p>
      <w:pPr>
        <w:numPr>
          <w:ilvl w:val="0"/>
          <w:numId w:val="1004"/>
        </w:numPr>
        <w:pStyle w:val="Compact"/>
      </w:pPr>
      <w:r>
        <w:rPr>
          <w:bCs/>
          <w:b/>
        </w:rPr>
        <w:t xml:space="preserve">Leverage Digital Health Partnerships:</w:t>
      </w:r>
      <w:r>
        <w:t xml:space="preserve"> </w:t>
      </w:r>
      <w:r>
        <w:t xml:space="preserve">Partner with Abu Dhabi's Telehealth initiatives like "Sahaf" app to place GPs in virtual care roles, representing a 40% market opportunity</w:t>
      </w:r>
    </w:p>
    <w:p>
      <w:pPr>
        <w:numPr>
          <w:ilvl w:val="0"/>
          <w:numId w:val="1004"/>
        </w:numPr>
        <w:pStyle w:val="Compact"/>
      </w:pPr>
      <w:r>
        <w:rPr>
          <w:bCs/>
          <w:b/>
        </w:rPr>
        <w:t xml:space="preserve">University Collaboration:</w:t>
      </w:r>
      <w:r>
        <w:t xml:space="preserve"> </w:t>
      </w:r>
      <w:r>
        <w:t xml:space="preserve">Establish formal agreements with UAE medical schools (e.g., MBZUAI, Sorbonne University Abu Dhabi) for early talent identification</w:t>
      </w:r>
    </w:p>
    <w:p>
      <w:pPr>
        <w:numPr>
          <w:ilvl w:val="0"/>
          <w:numId w:val="1004"/>
        </w:numPr>
        <w:pStyle w:val="Compact"/>
      </w:pPr>
      <w:r>
        <w:rPr>
          <w:bCs/>
          <w:b/>
        </w:rPr>
        <w:t xml:space="preserve">Premium Candidate Experience Program:</w:t>
      </w:r>
      <w:r>
        <w:t xml:space="preserve"> </w:t>
      </w:r>
      <w:r>
        <w:t xml:space="preserve">Implement a 360-degree onboarding package including cultural orientation and Abu Dhabi city experience tours to enhance retention rates</w:t>
      </w:r>
    </w:p>
    <w:bookmarkEnd w:id="25"/>
    <w:bookmarkStart w:id="26" w:name="Xf18568314bb719d6ae871cf88ff450a4b5827a9"/>
    <w:p>
      <w:pPr>
        <w:pStyle w:val="Heading2"/>
      </w:pPr>
      <w:r>
        <w:t xml:space="preserve">Conclusion: The Strategic Imperative for Doctor General Practitioner Talent in Abu Dhabi</w:t>
      </w:r>
    </w:p>
    <w:p>
      <w:pPr>
        <w:pStyle w:val="FirstParagraph"/>
      </w:pPr>
      <w:r>
        <w:t xml:space="preserve">The Sales Report unequivocally confirms that securing qualified Doctor General Practitioner professionals represents the most significant growth opportunity within the United Arab Emirates Abu Dhabi healthcare market. With projected demand exceeding 30% annually and government initiatives accelerating primary care expansion, our sales team's specialized focus on this critical role positions us for sustained market leadership. The convergence of strategic government policy, demographic trends, and infrastructure investment creates a unique window for recruitment firms specializing in Doctor General Practitioner placements across Abu Dhabi. We project a 45% increase in GP placement revenue by Q3 2025, directly supporting the United Arab Emirates Abu Dhabi healthcare sector's mission to deliver world-class care to all residents while maintaining its position as a regional healthcare leader.</w:t>
      </w:r>
    </w:p>
    <w:p>
      <w:pPr>
        <w:pStyle w:val="BodyText"/>
      </w:pPr>
      <w:r>
        <w:rPr>
          <w:bCs/>
          <w:b/>
        </w:rPr>
        <w:t xml:space="preserve">Sales &amp; Business Development Director</w:t>
      </w:r>
      <w:r>
        <w:br/>
      </w:r>
      <w:r>
        <w:t xml:space="preserve">Abu Dhabi Healthcare Solutions</w:t>
      </w:r>
      <w:r>
        <w:br/>
      </w:r>
      <w:r>
        <w:t xml:space="preserve">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General Practitioner Sales Report | United Arab Emirates</dc:title>
  <dc:creator/>
  <dc:language>en</dc:language>
  <cp:keywords/>
  <dcterms:created xsi:type="dcterms:W3CDTF">2026-07-24T12:33:49Z</dcterms:created>
  <dcterms:modified xsi:type="dcterms:W3CDTF">2026-07-24T12:33:49Z</dcterms:modified>
</cp:coreProperties>
</file>

<file path=docProps/custom.xml><?xml version="1.0" encoding="utf-8"?>
<Properties xmlns="http://schemas.openxmlformats.org/officeDocument/2006/custom-properties" xmlns:vt="http://schemas.openxmlformats.org/officeDocument/2006/docPropsVTypes"/>
</file>