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dd0986b6291afbb85615c3c37879796b234b386"/>
    <w:p>
      <w:pPr>
        <w:pStyle w:val="Heading1"/>
      </w:pPr>
      <w:r>
        <w:t xml:space="preserve">Q3 2024 Sales Performance Report: General Practitioner Services Market Analysis for Dubai, United Arab Emirates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Healthcare Division, UAE Healthcare Solutions Group</w:t>
      </w:r>
      <w:r>
        <w:br/>
      </w:r>
      <w:r>
        <w:rPr>
          <w:bCs/>
          <w:b/>
        </w:rPr>
        <w:t xml:space="preserve">Report Scope:</w:t>
      </w:r>
      <w:r>
        <w:t xml:space="preserve"> </w:t>
      </w:r>
      <w:r>
        <w:t xml:space="preserve">Sales Performance of Primary Care Services (General Practitioner Focus) across Dubai Health Authority (DHA) licensed facilities in the United Arab Emirates</w:t>
      </w:r>
    </w:p>
    <w:bookmarkStart w:id="20" w:name="executive-summary"/>
    <w:p>
      <w:pPr>
        <w:pStyle w:val="Heading2"/>
      </w:pPr>
      <w:r>
        <w:t xml:space="preserve">Executive Summary</w:t>
      </w:r>
    </w:p>
    <w:p>
      <w:pPr>
        <w:pStyle w:val="FirstParagraph"/>
      </w:pPr>
      <w:r>
        <w:t xml:space="preserve">This Sales Report details the performance of General Practitioner (GP) services within the competitive healthcare landscape of Dubai, United Arab Emirates. The third quarter of 2024 demonstrated robust growth, with a 15.7% year-on-year increase in patient consultations and a 12.3% rise in revenue for licensed clinics offering Doctor General Practitioner services. This performance underscores Dubai's status as the premier hub for accessible, high-quality primary care within the United Arab Emirates. Key drivers include expanding expatriate population demands, mandatory health insurance coverage under DHA regulations, and accelerated adoption of digital health platforms across Dubai’s healthcare ecosystem.</w:t>
      </w:r>
    </w:p>
    <w:bookmarkEnd w:id="20"/>
    <w:bookmarkStart w:id="21" w:name="Xad503f36ee70f3179b6eb5e9de1bdb2e8dbbce4"/>
    <w:p>
      <w:pPr>
        <w:pStyle w:val="Heading2"/>
      </w:pPr>
      <w:r>
        <w:t xml:space="preserve">Market Context: Doctor General Practitioner Demand in Dubai</w:t>
      </w:r>
    </w:p>
    <w:p>
      <w:pPr>
        <w:pStyle w:val="FirstParagraph"/>
      </w:pPr>
      <w:r>
        <w:t xml:space="preserve">As the commercial and residential epicenter of the United Arab Emirates, Dubai attracts over 3.5 million expatriates who constitute approximately 85% of its population. This demographic heavily relies on accessible primary care, making the role of a General Practitioner indispensable. The Dubai Health Authority (DHA) mandates comprehensive health insurance coverage for all residents, significantly boosting demand for GP services across all major healthcare providers in Dubai. This Sales Report confirms that clinics featuring dedicated Doctor General Practitioner teams consistently achieve higher patient retention rates and stronger referral networks within the United Arab Emirates market.</w:t>
      </w:r>
    </w:p>
    <w:bookmarkEnd w:id="21"/>
    <w:bookmarkStart w:id="22" w:name="q3-2024-sales-performance-key-metrics"/>
    <w:p>
      <w:pPr>
        <w:pStyle w:val="Heading2"/>
      </w:pPr>
      <w:r>
        <w:t xml:space="preserve">Q3 2024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 (Actual)</w:t>
            </w:r>
          </w:p>
        </w:tc>
        <w:tc>
          <w:tcPr/>
          <w:p>
            <w:pPr>
              <w:pStyle w:val="Compact"/>
              <w:jc w:val="left"/>
            </w:pPr>
            <w:r>
              <w:t xml:space="preserve">Q3 2023 (Actual)</w:t>
            </w:r>
          </w:p>
        </w:tc>
        <w:tc>
          <w:tcPr/>
          <w:p>
            <w:pPr>
              <w:pStyle w:val="Compact"/>
              <w:jc w:val="left"/>
            </w:pPr>
            <w:r>
              <w:t xml:space="preserve">% Change</w:t>
            </w:r>
          </w:p>
        </w:tc>
      </w:tr>
      <w:tr>
        <w:tc>
          <w:tcPr/>
          <w:p>
            <w:pPr>
              <w:pStyle w:val="Compact"/>
              <w:jc w:val="left"/>
            </w:pPr>
            <w:r>
              <w:t xml:space="preserve">Total Patient Consultations (GP Services)</w:t>
            </w:r>
          </w:p>
        </w:tc>
        <w:tc>
          <w:tcPr/>
          <w:p>
            <w:pPr>
              <w:pStyle w:val="Compact"/>
              <w:jc w:val="left"/>
            </w:pPr>
            <w:r>
              <w:t xml:space="preserve">18,450</w:t>
            </w:r>
          </w:p>
        </w:tc>
        <w:tc>
          <w:tcPr/>
          <w:p>
            <w:pPr>
              <w:pStyle w:val="Compact"/>
              <w:jc w:val="left"/>
            </w:pPr>
            <w:r>
              <w:t xml:space="preserve">15,940</w:t>
            </w:r>
          </w:p>
        </w:tc>
        <w:tc>
          <w:tcPr/>
          <w:p>
            <w:pPr>
              <w:pStyle w:val="Compact"/>
              <w:jc w:val="left"/>
            </w:pPr>
            <w:r>
              <w:t xml:space="preserve">+15.7%</w:t>
            </w:r>
          </w:p>
        </w:tc>
      </w:tr>
      <w:tr>
        <w:tc>
          <w:tcPr/>
          <w:p>
            <w:pPr>
              <w:pStyle w:val="Compact"/>
              <w:jc w:val="left"/>
            </w:pPr>
            <w:r>
              <w:t xml:space="preserve">Revenue from GP Services (AED)</w:t>
            </w:r>
          </w:p>
        </w:tc>
        <w:tc>
          <w:tcPr/>
          <w:p>
            <w:pPr>
              <w:pStyle w:val="Compact"/>
              <w:jc w:val="left"/>
            </w:pPr>
            <w:r>
              <w:t xml:space="preserve">2,368,200</w:t>
            </w:r>
          </w:p>
        </w:tc>
        <w:tc>
          <w:tcPr/>
          <w:p>
            <w:pPr>
              <w:pStyle w:val="Compact"/>
              <w:jc w:val="left"/>
            </w:pPr>
            <w:r>
              <w:t xml:space="preserve">2,110,500</w:t>
            </w:r>
          </w:p>
        </w:tc>
        <w:tc>
          <w:tcPr/>
          <w:p>
            <w:pPr>
              <w:pStyle w:val="Compact"/>
              <w:jc w:val="left"/>
            </w:pPr>
            <w:r>
              <w:t xml:space="preserve">+12.3%</w:t>
            </w:r>
          </w:p>
        </w:tc>
      </w:tr>
      <w:tr>
        <w:tc>
          <w:tcPr/>
          <w:p>
            <w:pPr>
              <w:pStyle w:val="Compact"/>
              <w:jc w:val="left"/>
            </w:pPr>
            <w:r>
              <w:t xml:space="preserve">New Patient Acquisitions (GP)</w:t>
            </w:r>
          </w:p>
        </w:tc>
        <w:tc>
          <w:tcPr/>
          <w:p>
            <w:pPr>
              <w:pStyle w:val="Compact"/>
              <w:jc w:val="left"/>
            </w:pPr>
            <w:r>
              <w:t xml:space="preserve">4,275</w:t>
            </w:r>
          </w:p>
        </w:tc>
        <w:tc>
          <w:tcPr/>
          <w:p>
            <w:pPr>
              <w:pStyle w:val="Compact"/>
              <w:jc w:val="left"/>
            </w:pPr>
            <w:r>
              <w:t xml:space="preserve">3,895</w:t>
            </w:r>
          </w:p>
        </w:tc>
        <w:tc>
          <w:tcPr/>
          <w:p>
            <w:pPr>
              <w:pStyle w:val="Compact"/>
              <w:jc w:val="left"/>
            </w:pPr>
            <w:r>
              <w:t xml:space="preserve">+9.8%</w:t>
            </w:r>
          </w:p>
        </w:tc>
      </w:tr>
      <w:tr>
        <w:tc>
          <w:tcPr/>
          <w:p>
            <w:pPr>
              <w:pStyle w:val="Compact"/>
              <w:jc w:val="left"/>
            </w:pPr>
            <w:r>
              <w:t xml:space="preserve">Average Consultation Revenue per Patient (AED)</w:t>
            </w:r>
          </w:p>
        </w:tc>
        <w:tc>
          <w:tcPr/>
          <w:p>
            <w:pPr>
              <w:pStyle w:val="Compact"/>
              <w:jc w:val="left"/>
            </w:pPr>
            <w:r>
              <w:t xml:space="preserve">128.30</w:t>
            </w:r>
          </w:p>
        </w:tc>
        <w:tc>
          <w:tcPr/>
          <w:p>
            <w:pPr>
              <w:pStyle w:val="Compact"/>
              <w:jc w:val="left"/>
            </w:pPr>
            <w:r>
              <w:t xml:space="preserve">127.05</w:t>
            </w:r>
          </w:p>
        </w:tc>
        <w:tc>
          <w:tcPr/>
          <w:p>
            <w:pPr>
              <w:pStyle w:val="Compact"/>
              <w:jc w:val="left"/>
            </w:pPr>
            <w:r>
              <w:t xml:space="preserve">+0.98%</w:t>
            </w:r>
          </w:p>
        </w:tc>
      </w:tr>
      <w:tr>
        <w:tc>
          <w:tcPr/>
          <w:p>
            <w:pPr>
              <w:pStyle w:val="Compact"/>
              <w:jc w:val="left"/>
            </w:pPr>
            <w:r>
              <w:t xml:space="preserve">Patient Satisfaction (NPS) - GP Services</w:t>
            </w:r>
          </w:p>
        </w:tc>
        <w:tc>
          <w:tcPr/>
          <w:p>
            <w:pPr>
              <w:pStyle w:val="Compact"/>
              <w:jc w:val="left"/>
            </w:pPr>
            <w:r>
              <w:t xml:space="preserve">76</w:t>
            </w:r>
          </w:p>
        </w:tc>
        <w:tc>
          <w:tcPr/>
          <w:p>
            <w:pPr>
              <w:pStyle w:val="Compact"/>
              <w:jc w:val="left"/>
            </w:pPr>
            <w:r>
              <w:t xml:space="preserve">73</w:t>
            </w:r>
          </w:p>
        </w:tc>
        <w:tc>
          <w:tcPr/>
          <w:p>
            <w:pPr>
              <w:pStyle w:val="Compact"/>
              <w:jc w:val="left"/>
            </w:pPr>
            <w:r>
              <w:t xml:space="preserve">+3 pts</w:t>
            </w:r>
          </w:p>
        </w:tc>
      </w:tr>
    </w:tbl>
    <w:bookmarkEnd w:id="22"/>
    <w:bookmarkStart w:id="23" w:name="Xf91a3a2afbb38a97e9c9dc312f5084927e1a15f"/>
    <w:p>
      <w:pPr>
        <w:pStyle w:val="Heading2"/>
      </w:pPr>
      <w:r>
        <w:t xml:space="preserve">Analysis of Growth Drivers in Dubai's General Practitioner Market</w:t>
      </w:r>
    </w:p>
    <w:p>
      <w:pPr>
        <w:pStyle w:val="FirstParagraph"/>
      </w:pPr>
      <w:r>
        <w:t xml:space="preserve">The exceptional performance in Q3 2024 stems from several strategic initiatives aligned with the specific demands of the United Arab Emirates Dubai market:</w:t>
      </w:r>
    </w:p>
    <w:p>
      <w:pPr>
        <w:numPr>
          <w:ilvl w:val="0"/>
          <w:numId w:val="1001"/>
        </w:numPr>
        <w:pStyle w:val="Compact"/>
      </w:pPr>
      <w:r>
        <w:rPr>
          <w:bCs/>
          <w:b/>
        </w:rPr>
        <w:t xml:space="preserve">DHA Compliance &amp; Insurance Integration:</w:t>
      </w:r>
      <w:r>
        <w:t xml:space="preserve"> </w:t>
      </w:r>
      <w:r>
        <w:t xml:space="preserve">Seamless integration with major UAE insurance providers (Daman, Seha, AlHosn) has streamlined billing and increased patient accessibility. Clinics offering Doctor General Practitioner services with direct DHA network participation saw a 22% higher patient volume.</w:t>
      </w:r>
    </w:p>
    <w:p>
      <w:pPr>
        <w:numPr>
          <w:ilvl w:val="0"/>
          <w:numId w:val="1001"/>
        </w:numPr>
        <w:pStyle w:val="Compact"/>
      </w:pPr>
      <w:r>
        <w:rPr>
          <w:bCs/>
          <w:b/>
        </w:rPr>
        <w:t xml:space="preserve">Telemedicine Expansion:</w:t>
      </w:r>
      <w:r>
        <w:t xml:space="preserve"> </w:t>
      </w:r>
      <w:r>
        <w:t xml:space="preserve">Dubai's digital health push accelerated adoption of virtual GP consultations. Our telehealth platform for Doctor General Practitioner services recorded a 45% YoY increase in usage, particularly among corporate clients across Dubai International Financial Centre (DIFC) and Downtown Dubai.</w:t>
      </w:r>
    </w:p>
    <w:p>
      <w:pPr>
        <w:numPr>
          <w:ilvl w:val="0"/>
          <w:numId w:val="1001"/>
        </w:numPr>
        <w:pStyle w:val="Compact"/>
      </w:pPr>
      <w:r>
        <w:rPr>
          <w:bCs/>
          <w:b/>
        </w:rPr>
        <w:t xml:space="preserve">Specialized Multilingual Services:</w:t>
      </w:r>
      <w:r>
        <w:t xml:space="preserve"> </w:t>
      </w:r>
      <w:r>
        <w:t xml:space="preserve">Clinics deploying GPs fluent in Arabic, English, Hindi, Urdu, and Filipino saw a 30% higher patient acquisition rate compared to monolingual facilities. This directly addresses Dubai's diverse population needs within the United Arab Emirates context.</w:t>
      </w:r>
    </w:p>
    <w:p>
      <w:pPr>
        <w:numPr>
          <w:ilvl w:val="0"/>
          <w:numId w:val="1001"/>
        </w:numPr>
        <w:pStyle w:val="Compact"/>
      </w:pPr>
      <w:r>
        <w:rPr>
          <w:bCs/>
          <w:b/>
        </w:rPr>
        <w:t xml:space="preserve">Corporate Wellness Partnerships:</w:t>
      </w:r>
      <w:r>
        <w:t xml:space="preserve"> </w:t>
      </w:r>
      <w:r>
        <w:t xml:space="preserve">Strategic contracts with major employers in Dubai (e.g., Dubai Holding, DP World) for on-site Doctor General Practitioner services contributed significantly to stable revenue streams and brand positioning in the UAE market.</w:t>
      </w:r>
    </w:p>
    <w:bookmarkEnd w:id="23"/>
    <w:bookmarkStart w:id="24" w:name="challenges-strategic-opportunities"/>
    <w:p>
      <w:pPr>
        <w:pStyle w:val="Heading2"/>
      </w:pPr>
      <w:r>
        <w:t xml:space="preserve">Challenges &amp; Strategic Opportunities</w:t>
      </w:r>
    </w:p>
    <w:p>
      <w:pPr>
        <w:pStyle w:val="FirstParagraph"/>
      </w:pPr>
      <w:r>
        <w:t xml:space="preserve">Despite strong performance, the Sales Report identifies critical areas requiring focus for sustained growth of Doctor General Practitioner services in Dubai:</w:t>
      </w:r>
    </w:p>
    <w:p>
      <w:pPr>
        <w:numPr>
          <w:ilvl w:val="0"/>
          <w:numId w:val="1002"/>
        </w:numPr>
        <w:pStyle w:val="Compact"/>
      </w:pPr>
      <w:r>
        <w:rPr>
          <w:bCs/>
          <w:b/>
        </w:rPr>
        <w:t xml:space="preserve">Talent Acquisition:</w:t>
      </w:r>
      <w:r>
        <w:t xml:space="preserve"> </w:t>
      </w:r>
      <w:r>
        <w:t xml:space="preserve">Intense competition for experienced GPs (especially those with UAE medical licensing) remains a constraint. Strategic partnerships with institutions like Dubai Medical College are recommended to address this gap.</w:t>
      </w:r>
    </w:p>
    <w:p>
      <w:pPr>
        <w:numPr>
          <w:ilvl w:val="0"/>
          <w:numId w:val="1002"/>
        </w:numPr>
        <w:pStyle w:val="Compact"/>
      </w:pPr>
      <w:r>
        <w:rPr>
          <w:bCs/>
          <w:b/>
        </w:rPr>
        <w:t xml:space="preserve">Technology Integration:</w:t>
      </w:r>
      <w:r>
        <w:t xml:space="preserve"> </w:t>
      </w:r>
      <w:r>
        <w:t xml:space="preserve">While telehealth grew, legacy systems in some clinics hindered seamless data sharing. Investment in interoperable EHR platforms compliant with Dubai Health Data Standards is critical for future scaling.</w:t>
      </w:r>
    </w:p>
    <w:p>
      <w:pPr>
        <w:numPr>
          <w:ilvl w:val="0"/>
          <w:numId w:val="1002"/>
        </w:numPr>
        <w:pStyle w:val="Compact"/>
      </w:pPr>
      <w:r>
        <w:rPr>
          <w:bCs/>
          <w:b/>
        </w:rPr>
        <w:t xml:space="preserve">Preventive Care Expansion:</w:t>
      </w:r>
      <w:r>
        <w:t xml:space="preserve"> </w:t>
      </w:r>
      <w:r>
        <w:t xml:space="preserve">Current GP services are predominantly reactive. Developing structured preventive care packages (e.g., corporate health screenings, chronic disease management) could unlock significant new revenue streams within the Dubai healthcare market.</w:t>
      </w:r>
    </w:p>
    <w:bookmarkEnd w:id="24"/>
    <w:bookmarkStart w:id="25" w:name="X17c8d2a6046402e3e20825b10d4a3b9164f64ef"/>
    <w:p>
      <w:pPr>
        <w:pStyle w:val="Heading2"/>
      </w:pPr>
      <w:r>
        <w:t xml:space="preserve">Q4 2024 Strategic Recommendations for Doctor General Practitioner Services in UAE Dubai</w:t>
      </w:r>
    </w:p>
    <w:p>
      <w:pPr>
        <w:pStyle w:val="FirstParagraph"/>
      </w:pPr>
      <w:r>
        <w:t xml:space="preserve">Based on this Sales Report analysis, we recommend the following actions to capitalize on Dubai's unique healthcare environment:</w:t>
      </w:r>
    </w:p>
    <w:p>
      <w:pPr>
        <w:numPr>
          <w:ilvl w:val="0"/>
          <w:numId w:val="1003"/>
        </w:numPr>
        <w:pStyle w:val="Compact"/>
      </w:pPr>
      <w:r>
        <w:rPr>
          <w:bCs/>
          <w:b/>
        </w:rPr>
        <w:t xml:space="preserve">Accelerate Multilingual GP Recruitment Drive:</w:t>
      </w:r>
      <w:r>
        <w:t xml:space="preserve"> </w:t>
      </w:r>
      <w:r>
        <w:t xml:space="preserve">Target recruitment of 15 additional GPs with fluency in key expatriate languages by Q2 2025, prioritizing DHA licensing support.</w:t>
      </w:r>
    </w:p>
    <w:p>
      <w:pPr>
        <w:numPr>
          <w:ilvl w:val="0"/>
          <w:numId w:val="1003"/>
        </w:numPr>
        <w:pStyle w:val="Compact"/>
      </w:pPr>
      <w:r>
        <w:rPr>
          <w:bCs/>
          <w:b/>
        </w:rPr>
        <w:t xml:space="preserve">Launch "Dubai Health Guardian" Package:</w:t>
      </w:r>
      <w:r>
        <w:t xml:space="preserve"> </w:t>
      </w:r>
      <w:r>
        <w:t xml:space="preserve">Develop a comprehensive preventive care subscription model (targeting corporations) including bi-annual GP check-ups, telehealth access, and chronic condition management – specifically designed for the United Arab Emirates Dubai workforce.</w:t>
      </w:r>
    </w:p>
    <w:p>
      <w:pPr>
        <w:numPr>
          <w:ilvl w:val="0"/>
          <w:numId w:val="1003"/>
        </w:numPr>
        <w:pStyle w:val="Compact"/>
      </w:pPr>
      <w:r>
        <w:rPr>
          <w:bCs/>
          <w:b/>
        </w:rPr>
        <w:t xml:space="preserve">Optimize Digital Platform Integration:</w:t>
      </w:r>
      <w:r>
        <w:t xml:space="preserve"> </w:t>
      </w:r>
      <w:r>
        <w:t xml:space="preserve">Implement UAE-compliant EHR integration with DHA's Health Data Exchange portal to enhance patient data flow and insurance claims processing efficiency across all Doctor General Practitioner service points in Dubai.</w:t>
      </w:r>
    </w:p>
    <w:p>
      <w:pPr>
        <w:numPr>
          <w:ilvl w:val="0"/>
          <w:numId w:val="1003"/>
        </w:numPr>
        <w:pStyle w:val="Compact"/>
      </w:pPr>
      <w:r>
        <w:rPr>
          <w:bCs/>
          <w:b/>
        </w:rPr>
        <w:t xml:space="preserve">Expand Corporate Wellness Partnerships:</w:t>
      </w:r>
      <w:r>
        <w:t xml:space="preserve"> </w:t>
      </w:r>
      <w:r>
        <w:t xml:space="preserve">Target 5 new major corporate clients in Dubai Silicon Oasis and Jebel Ali Free Zone by Q2 2025, emphasizing the cost-effectiveness of integrated GP services for employee health.</w:t>
      </w:r>
    </w:p>
    <w:bookmarkEnd w:id="25"/>
    <w:bookmarkStart w:id="26" w:name="conclusion"/>
    <w:p>
      <w:pPr>
        <w:pStyle w:val="Heading2"/>
      </w:pPr>
      <w:r>
        <w:t xml:space="preserve">Conclusion</w:t>
      </w:r>
    </w:p>
    <w:p>
      <w:pPr>
        <w:pStyle w:val="FirstParagraph"/>
      </w:pPr>
      <w:r>
        <w:t xml:space="preserve">This Sales Report conclusively demonstrates that General Practitioner services remain the cornerstone of primary care demand across Dubai, United Arab Emirates. The consistent growth trajectory – fueled by DHA regulations, expatriate demographics, and healthcare innovation – solidifies the Doctor General Practitioner as an essential service pillar in our portfolio. With strategic focus on talent development, digital transformation, and preventative care expansion specifically tailored for Dubai's market dynamics, we project a 18-20% revenue growth for GP services in Q4 2024. The United Arab Emirates Dubai healthcare landscape presents unparalleled opportunity; the key lies in executing hyper-localized service models that meet the distinct needs of our patients within this vibrant community.</w:t>
      </w:r>
    </w:p>
    <w:p>
      <w:pPr>
        <w:pStyle w:val="BodyText"/>
      </w:pPr>
      <w:r>
        <w:rPr>
          <w:bCs/>
          <w:b/>
        </w:rPr>
        <w:t xml:space="preserve">Prepared By:</w:t>
      </w:r>
      <w:r>
        <w:t xml:space="preserve"> </w:t>
      </w:r>
      <w:r>
        <w:t xml:space="preserve">Healthcare Sales Analytics Division, UAE Healthcare Solutions Group</w:t>
      </w:r>
      <w:r>
        <w:br/>
      </w:r>
      <w:r>
        <w:rPr>
          <w:bCs/>
          <w:b/>
        </w:rPr>
        <w:t xml:space="preserve">Confidentiality Notice:</w:t>
      </w:r>
      <w:r>
        <w:t xml:space="preserve"> </w:t>
      </w:r>
      <w:r>
        <w:t xml:space="preserve">This document contains proprietary sales information for internal use only. Distribution outside UAE Healthcare Solutions Group is strictly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General Practitioner Services in Dubai, United Arab Emirates</dc:title>
  <dc:creator/>
  <dc:language>en</dc:language>
  <cp:keywords/>
  <dcterms:created xsi:type="dcterms:W3CDTF">2025-12-10T07:09:53Z</dcterms:created>
  <dcterms:modified xsi:type="dcterms:W3CDTF">2025-12-10T07:09:53Z</dcterms:modified>
</cp:coreProperties>
</file>

<file path=docProps/custom.xml><?xml version="1.0" encoding="utf-8"?>
<Properties xmlns="http://schemas.openxmlformats.org/officeDocument/2006/custom-properties" xmlns:vt="http://schemas.openxmlformats.org/officeDocument/2006/docPropsVTypes"/>
</file>