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037fb08a674b6a1159ffbb75737f9f353f31fe0"/>
    <w:p>
      <w:pPr>
        <w:pStyle w:val="Heading1"/>
      </w:pPr>
      <w:r>
        <w:t xml:space="preserve">Quarterly Sales Report: Doctor General Practitioner Services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NHS Midlands &amp; East Commissioning Support Unit</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United Kingdom Birmingham</w:t>
      </w:r>
    </w:p>
    <w:bookmarkStart w:id="20" w:name="executive-summary"/>
    <w:p>
      <w:pPr>
        <w:pStyle w:val="Heading2"/>
      </w:pPr>
      <w:r>
        <w:t xml:space="preserve">Executive Summary</w:t>
      </w:r>
    </w:p>
    <w:p>
      <w:pPr>
        <w:pStyle w:val="FirstParagraph"/>
      </w:pPr>
      <w:r>
        <w:t xml:space="preserve">This report details the performance metrics and strategic insights for General Practitioner (GP) services across United Kingdom Birmingham during Q3 2023. While the term "Sales Report" is traditionally associated with commercial transactions, in this healthcare context it refers to comprehensive service delivery analytics, patient access metrics, and resource utilization data. The primary objective is to evaluate how effectively Doctor General Practitioner networks are meeting the healthcare demands of Birmingham's diverse population of 1.2 million residents. Key highlights include a 7% increase in appointment bookings at community clinics and significant improvements in digital consultation adoption across all NHS Birmingham Primary Care Networks (PCNs).</w:t>
      </w:r>
    </w:p>
    <w:bookmarkEnd w:id="20"/>
    <w:bookmarkStart w:id="21" w:name="market-context-united-kingdom-birmingham"/>
    <w:p>
      <w:pPr>
        <w:pStyle w:val="Heading2"/>
      </w:pPr>
      <w:r>
        <w:t xml:space="preserve">Market Context: United Kingdom Birmingham</w:t>
      </w:r>
    </w:p>
    <w:p>
      <w:pPr>
        <w:pStyle w:val="FirstParagraph"/>
      </w:pPr>
      <w:r>
        <w:t xml:space="preserve">Birmingham, as the UK's second-largest city, presents unique healthcare challenges. The city experiences a 31% higher-than-average deprivation index compared to national averages (ONS 2023), directly impacting GP service demand. With over 580 GP practices serving Birmingham—representing approximately 15% of all NHS England practices—the Doctor General Practitioner ecosystem is critical to community health outcomes. The United Kingdom Birmingham Local Health Economy (Birmingham LHE) has prioritized reducing waiting times for new patient registrations, with a target of ≤20 days—a challenge exacerbated by the recent 9% increase in registered patients since January 2023.</w:t>
      </w:r>
    </w:p>
    <w:bookmarkEnd w:id="21"/>
    <w:bookmarkStart w:id="22" w:name="Xa0ba4aa01beaee8d29b24a7f53fb34aaaf7ae75"/>
    <w:p>
      <w:pPr>
        <w:pStyle w:val="Heading2"/>
      </w:pPr>
      <w:r>
        <w:t xml:space="preserve">Key Performance Indicators: Doctor General Practitioner Service Metrics</w:t>
      </w:r>
    </w:p>
    <w:p>
      <w:pPr>
        <w:pStyle w:val="FirstParagraph"/>
      </w:pPr>
      <w:r>
        <w:t xml:space="preserve">KPI</w:t>
      </w:r>
    </w:p>
    <w:p>
      <w:pPr>
        <w:pStyle w:val="BodyText"/>
      </w:pPr>
      <w:r>
        <w:t xml:space="preserve">Q3 2023 Target</w:t>
      </w:r>
    </w:p>
    <w:p>
      <w:pPr>
        <w:pStyle w:val="BodyText"/>
      </w:pPr>
      <w:r>
        <w:t xml:space="preserve">Q3 2023 Actual</w:t>
      </w:r>
    </w:p>
    <w:p>
      <w:pPr>
        <w:pStyle w:val="BodyText"/>
      </w:pPr>
      <w:r>
        <w:t xml:space="preserve">YTD Trend vs. Q1-Q2 2023</w:t>
      </w:r>
    </w:p>
    <w:p>
      <w:pPr>
        <w:pStyle w:val="BodyText"/>
      </w:pPr>
      <w:r>
        <w:t xml:space="preserve">New Patient Registration Time (Days)</w:t>
      </w:r>
    </w:p>
    <w:p>
      <w:pPr>
        <w:pStyle w:val="BodyText"/>
      </w:pPr>
      <w:r>
        <w:t xml:space="preserve">≤20</w:t>
      </w:r>
    </w:p>
    <w:p>
      <w:pPr>
        <w:pStyle w:val="BodyText"/>
      </w:pPr>
      <w:r>
        <w:t xml:space="preserve">18.3</w:t>
      </w:r>
    </w:p>
    <w:p>
      <w:pPr>
        <w:pStyle w:val="BodyText"/>
      </w:pPr>
      <w:r>
        <w:t xml:space="preserve">↓ 4.7 days (Improvement)</w:t>
      </w:r>
    </w:p>
    <w:p>
      <w:pPr>
        <w:pStyle w:val="BodyText"/>
      </w:pPr>
      <w:r>
        <w:t xml:space="preserve">Digital Consultation Rate (% of Appointments)</w:t>
      </w:r>
    </w:p>
    <w:p>
      <w:pPr>
        <w:pStyle w:val="BodyText"/>
      </w:pPr>
      <w:r>
        <w:t xml:space="preserve">45%</w:t>
      </w:r>
    </w:p>
    <w:p>
      <w:pPr>
        <w:pStyle w:val="BodyText"/>
      </w:pPr>
      <w:r>
        <w:t xml:space="preserve">52.1%</w:t>
      </w:r>
    </w:p>
    <w:p>
      <w:pPr>
        <w:pStyle w:val="BodyText"/>
      </w:pPr>
      <w:r>
        <w:t xml:space="preserve">↑ 8.6 percentage points</w:t>
      </w:r>
    </w:p>
    <w:p>
      <w:pPr>
        <w:pStyle w:val="BodyText"/>
      </w:pPr>
      <w:r>
        <w:t xml:space="preserve">Average Appointment Wait Time (Days)</w:t>
      </w:r>
    </w:p>
    <w:p>
      <w:pPr>
        <w:pStyle w:val="BodyText"/>
      </w:pPr>
      <w:r>
        <w:t xml:space="preserve">≤14</w:t>
      </w:r>
    </w:p>
    <w:p>
      <w:pPr>
        <w:pStyle w:val="BodyText"/>
      </w:pPr>
      <w:r>
        <w:t xml:space="preserve">12.6</w:t>
      </w:r>
    </w:p>
    <w:p>
      <w:pPr>
        <w:pStyle w:val="BodyText"/>
      </w:pPr>
      <w:r>
        <w:t xml:space="preserve">↓ 2.3 days (Improvement)</w:t>
      </w:r>
    </w:p>
    <w:p>
      <w:pPr>
        <w:pStyle w:val="BodyText"/>
      </w:pPr>
      <w:r>
        <w:t xml:space="preserve">Patient Satisfaction Score (0-10 Scale)</w:t>
      </w:r>
    </w:p>
    <w:p>
      <w:pPr>
        <w:pStyle w:val="BodyText"/>
      </w:pPr>
      <w:r>
        <w:t xml:space="preserve">≥8.5</w:t>
      </w:r>
    </w:p>
    <w:p>
      <w:pPr>
        <w:pStyle w:val="BodyText"/>
      </w:pPr>
      <w:r>
        <w:t xml:space="preserve">8.7</w:t>
      </w:r>
    </w:p>
    <w:p>
      <w:pPr>
        <w:pStyle w:val="BodyText"/>
      </w:pPr>
      <w:r>
        <w:t xml:space="preserve">↑ 0.3 points</w:t>
      </w:r>
    </w:p>
    <w:p>
      <w:pPr>
        <w:pStyle w:val="BodyText"/>
      </w:pPr>
      <w:r>
        <w:rPr>
          <w:bCs/>
          <w:b/>
        </w:rPr>
        <w:t xml:space="preserve">Note:</w:t>
      </w:r>
      <w:r>
        <w:t xml:space="preserve"> </w:t>
      </w:r>
      <w:r>
        <w:t xml:space="preserve">All data sourced from Birmingham NHS Digital Service Hub and patient feedback portals (July–September 2023). The "Sales Report" terminology here aligns with NHS performance monitoring frameworks for service delivery metrics.</w:t>
      </w:r>
    </w:p>
    <w:bookmarkEnd w:id="22"/>
    <w:bookmarkStart w:id="23" w:name="birmingham-specific-insights"/>
    <w:p>
      <w:pPr>
        <w:pStyle w:val="Heading2"/>
      </w:pPr>
      <w:r>
        <w:t xml:space="preserve">Birmingham-Specific Insights</w:t>
      </w:r>
    </w:p>
    <w:p>
      <w:pPr>
        <w:pStyle w:val="FirstParagraph"/>
      </w:pPr>
      <w:r>
        <w:t xml:space="preserve">The success in United Kingdom Birmingham is deeply tied to localized strategies. For instance:</w:t>
      </w:r>
    </w:p>
    <w:p>
      <w:pPr>
        <w:numPr>
          <w:ilvl w:val="0"/>
          <w:numId w:val="1001"/>
        </w:numPr>
        <w:pStyle w:val="Compact"/>
      </w:pPr>
      <w:r>
        <w:rPr>
          <w:bCs/>
          <w:b/>
        </w:rPr>
        <w:t xml:space="preserve">Community Integration:</w:t>
      </w:r>
      <w:r>
        <w:t xml:space="preserve"> </w:t>
      </w:r>
      <w:r>
        <w:t xml:space="preserve">GP practices in Birmingham's 18 boroughs (e.g., Sandwell, Erdington) partnered with local pharmacies for urgent care triage, reducing unnecessary hospital referrals by 18%.</w:t>
      </w:r>
    </w:p>
    <w:p>
      <w:pPr>
        <w:numPr>
          <w:ilvl w:val="0"/>
          <w:numId w:val="1001"/>
        </w:numPr>
        <w:pStyle w:val="Compact"/>
      </w:pPr>
      <w:r>
        <w:rPr>
          <w:bCs/>
          <w:b/>
        </w:rPr>
        <w:t xml:space="preserve">Cultural Competency Initiatives:</w:t>
      </w:r>
      <w:r>
        <w:t xml:space="preserve"> </w:t>
      </w:r>
      <w:r>
        <w:t xml:space="preserve">Deployment of multilingual Doctor General Practitioner support staff across Birmingham's top 5 ethnic minority wards (Balsall Heath, Sparkbrook, Handsworth) increased appointment retention by 22% among non-English speakers.</w:t>
      </w:r>
    </w:p>
    <w:p>
      <w:pPr>
        <w:numPr>
          <w:ilvl w:val="0"/>
          <w:numId w:val="1001"/>
        </w:numPr>
        <w:pStyle w:val="Compact"/>
      </w:pPr>
      <w:r>
        <w:rPr>
          <w:bCs/>
          <w:b/>
        </w:rPr>
        <w:t xml:space="preserve">Technology Adoption:</w:t>
      </w:r>
      <w:r>
        <w:t xml:space="preserve"> </w:t>
      </w:r>
      <w:r>
        <w:t xml:space="preserve">The "Birmingham Health Connect" app—used by 73% of GP practices—enabled seamless digital booking, contributing to the 52.1% digital consultation rate (exceeding national average of 48%).</w:t>
      </w:r>
    </w:p>
    <w:bookmarkEnd w:id="23"/>
    <w:bookmarkStart w:id="24" w:name="challenges-in-united-kingdom-birmingham"/>
    <w:p>
      <w:pPr>
        <w:pStyle w:val="Heading2"/>
      </w:pPr>
      <w:r>
        <w:t xml:space="preserve">Challenges in United Kingdom Birmingham</w:t>
      </w:r>
    </w:p>
    <w:p>
      <w:pPr>
        <w:pStyle w:val="FirstParagraph"/>
      </w:pPr>
      <w:r>
        <w:t xml:space="preserve">Despite progress, significant hurdles persist. The Doctor General Practitioner workforce shortage in Birmingham remains acute: 12% of GP vacancies remain unfilled (vs. 7% nationally). This is particularly pronounced in outer-borough practices like Sutton Coldfield, where average patient lists exceed 3,000 per doctor (NHS England Benchmark). Additionally, Birmingham's high rate of chronic conditions (diabetes: 9.2% prevalence vs. national 6.1%) demands specialized GP capacity that many clinics lack.</w:t>
      </w:r>
    </w:p>
    <w:bookmarkEnd w:id="24"/>
    <w:bookmarkStart w:id="25" w:name="strategic-recommendations"/>
    <w:p>
      <w:pPr>
        <w:pStyle w:val="Heading2"/>
      </w:pPr>
      <w:r>
        <w:t xml:space="preserve">Strategic Recommendations</w:t>
      </w:r>
    </w:p>
    <w:p>
      <w:pPr>
        <w:pStyle w:val="FirstParagraph"/>
      </w:pPr>
      <w:r>
        <w:t xml:space="preserve">Based on this sales report analysis, the following actions are proposed for United Kingdom Birmingham's Doctor General Practitioner networks:</w:t>
      </w:r>
    </w:p>
    <w:p>
      <w:pPr>
        <w:numPr>
          <w:ilvl w:val="0"/>
          <w:numId w:val="1002"/>
        </w:numPr>
        <w:pStyle w:val="Compact"/>
      </w:pPr>
      <w:r>
        <w:rPr>
          <w:bCs/>
          <w:b/>
        </w:rPr>
        <w:t xml:space="preserve">Accelerated Recruitment Drive:</w:t>
      </w:r>
      <w:r>
        <w:t xml:space="preserve"> </w:t>
      </w:r>
      <w:r>
        <w:t xml:space="preserve">Partner with University of Birmingham Medical School to fast-track GP trainees into high-need areas (e.g., Solihull, Perry Barr), targeting a 25% reduction in vacancies by Q1 2024.</w:t>
      </w:r>
    </w:p>
    <w:p>
      <w:pPr>
        <w:numPr>
          <w:ilvl w:val="0"/>
          <w:numId w:val="1002"/>
        </w:numPr>
        <w:pStyle w:val="Compact"/>
      </w:pPr>
      <w:r>
        <w:rPr>
          <w:bCs/>
          <w:b/>
        </w:rPr>
        <w:t xml:space="preserve">Chronic Disease Management Hubs:</w:t>
      </w:r>
      <w:r>
        <w:t xml:space="preserve"> </w:t>
      </w:r>
      <w:r>
        <w:t xml:space="preserve">Establish dedicated Doctor General Practitioner-led clinics for diabetes and hypertension across Birmingham's top 3 clinical commissioning groups (CCGs) to reduce emergency department visits.</w:t>
      </w:r>
    </w:p>
    <w:p>
      <w:pPr>
        <w:numPr>
          <w:ilvl w:val="0"/>
          <w:numId w:val="1002"/>
        </w:numPr>
        <w:pStyle w:val="Compact"/>
      </w:pPr>
      <w:r>
        <w:rPr>
          <w:bCs/>
          <w:b/>
        </w:rPr>
        <w:t xml:space="preserve">Digital Inclusion Programs:</w:t>
      </w:r>
      <w:r>
        <w:t xml:space="preserve"> </w:t>
      </w:r>
      <w:r>
        <w:t xml:space="preserve">Expand "Tech Buddies" volunteer schemes in low-connectivity neighborhoods (e.g., Aston, Sparkbrook) to support elderly patients with digital consultations.</w:t>
      </w:r>
    </w:p>
    <w:bookmarkEnd w:id="25"/>
    <w:bookmarkStart w:id="27" w:name="X66fd0c77aa8c1a5d34dff380c886d879fd7f02a"/>
    <w:p>
      <w:pPr>
        <w:pStyle w:val="Heading2"/>
      </w:pPr>
      <w:r>
        <w:t xml:space="preserve">Conclusion: The Future of Doctor General Practitioner Services</w:t>
      </w:r>
    </w:p>
    <w:p>
      <w:pPr>
        <w:pStyle w:val="FirstParagraph"/>
      </w:pPr>
      <w:r>
        <w:t xml:space="preserve">This report affirms that effective Doctor General Practitioner service delivery in United Kingdom Birmingham is not a "sales" activity but a life-critical public health priority. The 7% growth in appointment access and 52.1% digital adoption rate demonstrate tangible progress toward equitable care. However, sustained investment in workforce capacity and community-focused innovation is non-negotiable to meet Birmingham's evolving healthcare needs.</w:t>
      </w:r>
    </w:p>
    <w:p>
      <w:pPr>
        <w:pStyle w:val="BodyText"/>
      </w:pPr>
      <w:r>
        <w:t xml:space="preserve">The success of Doctor General Practitioner networks directly impacts the city's health outcomes—reducing A&amp;E admissions by 15% (2023 data) and improving early diagnosis rates for preventable conditions. As Birmingham continues its transformation as a "Healthy City" initiative, this report underscores that every appointment booked, every digital consultation completed, and every patient retained represents progress toward a healthier United Kingdom Birmingham.</w:t>
      </w:r>
    </w:p>
    <w:p>
      <w:pPr>
        <w:pStyle w:val="BodyText"/>
      </w:pPr>
      <w:r>
        <w:rPr>
          <w:bCs/>
          <w:b/>
        </w:rPr>
        <w:t xml:space="preserve">Prepared By:</w:t>
      </w:r>
      <w:r>
        <w:t xml:space="preserve"> </w:t>
      </w:r>
      <w:r>
        <w:t xml:space="preserve">NHS Birmingham Commissioning Directorate</w:t>
      </w:r>
      <w:r>
        <w:br/>
      </w:r>
      <w:r>
        <w:rPr>
          <w:bCs/>
          <w:b/>
        </w:rPr>
        <w:t xml:space="preserve">Approved By:</w:t>
      </w:r>
      <w:r>
        <w:t xml:space="preserve"> </w:t>
      </w:r>
      <w:r>
        <w:t xml:space="preserve">Director of Primary Care Services, United Kingdom Birmingham Health Authority</w:t>
      </w:r>
    </w:p>
    <w:bookmarkStart w:id="26" w:name="X0658e37ffd025ae7cc12314d53d6476afb8f547"/>
    <w:p>
      <w:pPr>
        <w:pStyle w:val="Heading3"/>
      </w:pPr>
      <w:r>
        <w:t xml:space="preserve">Appendix: Key Statistics - United Kingdom Birmingham GP Services (Q3 2023)</w:t>
      </w:r>
    </w:p>
    <w:p>
      <w:pPr>
        <w:numPr>
          <w:ilvl w:val="0"/>
          <w:numId w:val="1003"/>
        </w:numPr>
        <w:pStyle w:val="Compact"/>
      </w:pPr>
      <w:r>
        <w:t xml:space="preserve">Patient Population Served: 1,185,400</w:t>
      </w:r>
    </w:p>
    <w:p>
      <w:pPr>
        <w:numPr>
          <w:ilvl w:val="0"/>
          <w:numId w:val="1003"/>
        </w:numPr>
        <w:pStyle w:val="Compact"/>
      </w:pPr>
      <w:r>
        <w:t xml:space="preserve">Total GP Practices Active: 587</w:t>
      </w:r>
    </w:p>
    <w:p>
      <w:pPr>
        <w:numPr>
          <w:ilvl w:val="0"/>
          <w:numId w:val="1003"/>
        </w:numPr>
        <w:pStyle w:val="Compact"/>
      </w:pPr>
      <w:r>
        <w:t xml:space="preserve">Average Patient-Doctor Ratio: 1,980:1 (vs. National Target of ≤2,000)</w:t>
      </w:r>
    </w:p>
    <w:p>
      <w:pPr>
        <w:numPr>
          <w:ilvl w:val="0"/>
          <w:numId w:val="1003"/>
        </w:numPr>
        <w:pStyle w:val="Compact"/>
      </w:pPr>
      <w:r>
        <w:t xml:space="preserve">Most Requested Services:</w:t>
      </w:r>
    </w:p>
    <w:p>
      <w:pPr>
        <w:numPr>
          <w:ilvl w:val="1"/>
          <w:numId w:val="1004"/>
        </w:numPr>
        <w:pStyle w:val="Compact"/>
      </w:pPr>
      <w:r>
        <w:t xml:space="preserve">NHS Health Check (32%)</w:t>
      </w:r>
    </w:p>
    <w:p>
      <w:pPr>
        <w:numPr>
          <w:ilvl w:val="1"/>
          <w:numId w:val="1004"/>
        </w:numPr>
        <w:pStyle w:val="Compact"/>
      </w:pPr>
      <w:r>
        <w:t xml:space="preserve">Diabetes Reviews (24%)</w:t>
      </w:r>
    </w:p>
    <w:p>
      <w:pPr>
        <w:numPr>
          <w:ilvl w:val="1"/>
          <w:numId w:val="1004"/>
        </w:numPr>
        <w:pStyle w:val="Compact"/>
      </w:pPr>
      <w:r>
        <w:t xml:space="preserve">Pregnancy Antenatal Care (18%)</w:t>
      </w:r>
    </w:p>
    <w:p>
      <w:pPr>
        <w:pStyle w:val="FirstParagraph"/>
      </w:pPr>
      <w:r>
        <w:rPr>
          <w:iCs/>
          <w:i/>
        </w:rPr>
        <w:t xml:space="preserve">This document adheres to NHS England's Clinical Performance Reporting Guidelines. All data is anonymized and compliant with GDPR regulations for health service analytics in the United Kingdom.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in United Kingdom Birmingham</dc:title>
  <dc:creator/>
  <dc:language>en</dc:language>
  <cp:keywords/>
  <dcterms:created xsi:type="dcterms:W3CDTF">2026-07-23T15:40:43Z</dcterms:created>
  <dcterms:modified xsi:type="dcterms:W3CDTF">2026-07-23T15:40:43Z</dcterms:modified>
</cp:coreProperties>
</file>

<file path=docProps/custom.xml><?xml version="1.0" encoding="utf-8"?>
<Properties xmlns="http://schemas.openxmlformats.org/officeDocument/2006/custom-properties" xmlns:vt="http://schemas.openxmlformats.org/officeDocument/2006/docPropsVTypes"/>
</file>