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General</w:t>
      </w:r>
      <w:r>
        <w:t xml:space="preserve"> </w:t>
      </w:r>
      <w:r>
        <w:t xml:space="preserve">Practitioner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Q1</w:t>
      </w:r>
      <w:r>
        <w:t xml:space="preserve"> </w:t>
      </w:r>
      <w:r>
        <w:t xml:space="preserve">2023</w:t>
      </w:r>
    </w:p>
    <w:bookmarkStart w:id="31" w:name="Xe7950a3ca503f5e7ddf69ff82062a1d6fe39bd2"/>
    <w:p>
      <w:pPr>
        <w:pStyle w:val="Heading1"/>
      </w:pPr>
      <w:r>
        <w:t xml:space="preserve">UNITED KINGDOM LONDON GENERAL PRACTITIONER SALES PERFORMANCE REPORT</w:t>
      </w:r>
    </w:p>
    <w:bookmarkStart w:id="20" w:name="executive-summary"/>
    <w:p>
      <w:pPr>
        <w:pStyle w:val="Heading2"/>
      </w:pPr>
      <w:r>
        <w:t xml:space="preserve">Executive Summary</w:t>
      </w:r>
    </w:p>
    <w:p>
      <w:pPr>
        <w:pStyle w:val="FirstParagraph"/>
      </w:pPr>
      <w:r>
        <w:t xml:space="preserve">This comprehensive Sales Report details the performance metrics of General Practitioner (GP) services across London practices during the first quarter of 2023. As a cornerstone of primary healthcare in the United Kingdom, our Doctor General Practitioner network has demonstrated significant growth and resilience despite ongoing NHS pressures. This report provides critical insights into patient acquisition, consultation volumes, revenue streams, and strategic opportunities within the competitive London healthcare landscape. The analysis confirms that our GP services remain among the most sought-after primary care options in London's urban medical ecosystem.</w:t>
      </w:r>
    </w:p>
    <w:p>
      <w:pPr>
        <w:pStyle w:val="BodyText"/>
      </w:pPr>
      <w:r>
        <w:rPr>
          <w:bCs/>
          <w:b/>
        </w:rPr>
        <w:t xml:space="preserve">Key Achievement:</w:t>
      </w:r>
      <w:r>
        <w:t xml:space="preserve"> </w:t>
      </w:r>
      <w:r>
        <w:t xml:space="preserve">A 12.7% year-on-year increase in patient consultations across all United Kingdom London practices, surpassing national averages by 4.3 percentage points during Q1 2023.</w:t>
      </w:r>
    </w:p>
    <w:bookmarkEnd w:id="20"/>
    <w:bookmarkStart w:id="22" w:name="X1f8d864a9dcd6a38d0fb188c2b4f79fd9110234"/>
    <w:p>
      <w:pPr>
        <w:pStyle w:val="Heading2"/>
      </w:pPr>
      <w:r>
        <w:t xml:space="preserve">Regional Performance Analysis: London's GP Market</w:t>
      </w:r>
    </w:p>
    <w:bookmarkStart w:id="21" w:name="consultation-volume-breakdown"/>
    <w:p>
      <w:pPr>
        <w:pStyle w:val="Heading3"/>
      </w:pPr>
      <w:r>
        <w:t xml:space="preserve">Consultation Volume Breakdown</w:t>
      </w:r>
    </w:p>
    <w:p>
      <w:pPr>
        <w:pStyle w:val="FirstParagraph"/>
      </w:pPr>
      <w:r>
        <w:t xml:space="preserve">London's Doctor General Practitioner practices reported 1.8 million total consultations in Q1 2023, reflecting a sustained recovery from pandemic-related disruptions. The data reveals significant regional variations within United Kingdom London:</w:t>
      </w:r>
    </w:p>
    <w:p>
      <w:pPr>
        <w:pStyle w:val="BodyText"/>
      </w:pPr>
      <w:r>
        <w:t xml:space="preserve">London Borough</w:t>
      </w:r>
    </w:p>
    <w:bookmarkEnd w:id="21"/>
    <w:bookmarkEnd w:id="22"/>
    <w:p>
      <w:pPr>
        <w:pStyle w:val="BodyText"/>
      </w:pPr>
      <w:r>
        <w:t xml:space="preserve">Avg. Weekly Consultations (Q1)</w:t>
      </w:r>
    </w:p>
    <w:p>
      <w:pPr>
        <w:pStyle w:val="BodyText"/>
      </w:pPr>
      <w:r>
        <w:t xml:space="preserve">Y-O-Y Growth</w:t>
      </w:r>
    </w:p>
    <w:p>
      <w:pPr>
        <w:pStyle w:val="BodyText"/>
      </w:pPr>
      <w:r>
        <w:t xml:space="preserve">Key Driver</w:t>
      </w:r>
    </w:p>
    <w:p>
      <w:pPr>
        <w:pStyle w:val="BodyText"/>
      </w:pPr>
      <w:r>
        <w:t xml:space="preserve">City of London</w:t>
      </w:r>
    </w:p>
    <w:p>
      <w:pPr>
        <w:pStyle w:val="BodyText"/>
      </w:pPr>
      <w:r>
        <w:t xml:space="preserve">820</w:t>
      </w:r>
    </w:p>
    <w:p>
      <w:pPr>
        <w:pStyle w:val="BodyText"/>
      </w:pPr>
      <w:r>
        <w:t xml:space="preserve">+9.2%</w:t>
      </w:r>
    </w:p>
    <w:p>
      <w:pPr>
        <w:pStyle w:val="BodyText"/>
      </w:pPr>
      <w:r>
        <w:t xml:space="preserve">NHS Digital Health Initiatives</w:t>
      </w:r>
    </w:p>
    <w:p>
      <w:pPr>
        <w:pStyle w:val="BodyText"/>
      </w:pPr>
      <w:r>
        <w:t xml:space="preserve">Hackney &amp; Islington</w:t>
      </w:r>
    </w:p>
    <w:p>
      <w:pPr>
        <w:pStyle w:val="BodyText"/>
      </w:pPr>
      <w:r>
        <w:t xml:space="preserve">1,450</w:t>
      </w:r>
    </w:p>
    <w:p>
      <w:pPr>
        <w:pStyle w:val="BodyText"/>
      </w:pPr>
      <w:r>
        <w:t xml:space="preserve">&lt;</w:t>
      </w:r>
    </w:p>
    <w:p>
      <w:pPr>
        <w:pStyle w:val="BodyText"/>
      </w:pPr>
      <w:r>
        <w:t xml:space="preserve">+15.3%</w:t>
      </w:r>
    </w:p>
    <w:p>
      <w:pPr>
        <w:pStyle w:val="BodyText"/>
      </w:pPr>
      <w:r>
        <w:t xml:space="preserve">Community Health Outreach Programs</w:t>
      </w:r>
    </w:p>
    <w:p>
      <w:pPr>
        <w:pStyle w:val="BodyText"/>
      </w:pPr>
      <w:r>
        <w:t xml:space="preserve">Croydon &amp; Bromley</w:t>
      </w:r>
    </w:p>
    <w:p>
      <w:pPr>
        <w:pStyle w:val="BodyText"/>
      </w:pPr>
      <w:r>
        <w:t xml:space="preserve">980</w:t>
      </w:r>
    </w:p>
    <w:p>
      <w:pPr>
        <w:pStyle w:val="BodyText"/>
      </w:pPr>
      <w:r>
        <w:t xml:space="preserve">+7.6%</w:t>
      </w:r>
    </w:p>
    <w:p>
      <w:pPr>
        <w:pStyle w:val="BodyText"/>
      </w:pPr>
      <w:r>
        <w:t xml:space="preserve">Westminster &amp; Camden</w:t>
      </w:r>
    </w:p>
    <w:p>
      <w:pPr>
        <w:pStyle w:val="BodyText"/>
      </w:pPr>
      <w:r>
        <w:t xml:space="preserve">2,100*</w:t>
      </w:r>
    </w:p>
    <w:p>
      <w:pPr>
        <w:pStyle w:val="BodyText"/>
      </w:pPr>
      <w:r>
        <w:t xml:space="preserve">+18.4%</w:t>
      </w:r>
    </w:p>
    <w:p>
      <w:pPr>
        <w:pStyle w:val="BodyText"/>
      </w:pPr>
      <w:r>
        <w:t xml:space="preserve">Premium Private GP Contracts Expansion</w:t>
      </w:r>
    </w:p>
    <w:p>
      <w:pPr>
        <w:pStyle w:val="BodyText"/>
      </w:pPr>
      <w:r>
        <w:t xml:space="preserve">*Note: Westminster and Camden data includes both NHS and private practice services. The 18.4% Y-O-Y growth in central London reflects rising demand for same-day appointments among professionals.</w:t>
      </w:r>
    </w:p>
    <w:bookmarkStart w:id="23" w:name="revenue-stream-diversification"/>
    <w:p>
      <w:pPr>
        <w:pStyle w:val="Heading3"/>
      </w:pPr>
      <w:r>
        <w:t xml:space="preserve">Revenue Stream Diversification</w:t>
      </w:r>
    </w:p>
    <w:p>
      <w:pPr>
        <w:pStyle w:val="FirstParagraph"/>
      </w:pPr>
      <w:r>
        <w:t xml:space="preserve">Our Sales Report confirms a strategic shift toward revenue diversification that has proven critical in the United Kingdom London market. While NHS primary care funding remains dominant (68% of revenue), private consultations now contribute 24% – up from 17% in Q1 2022. The most significant growth driver is telemedicine services, which generated £3.8M in Q1 (a 53% increase over previous year) with London-based practices leading the adoption curve.</w:t>
      </w:r>
    </w:p>
    <w:p>
      <w:pPr>
        <w:pStyle w:val="BodyText"/>
      </w:pPr>
      <w:r>
        <w:rPr>
          <w:bCs/>
          <w:b/>
        </w:rPr>
        <w:t xml:space="preserve">Market Insight:</w:t>
      </w:r>
      <w:r>
        <w:t xml:space="preserve"> </w:t>
      </w:r>
      <w:r>
        <w:t xml:space="preserve">London's Doctor General Practitioner market demonstrates exceptional adaptability – 76% of our practices now offer hybrid consultation models (in-person + digital), directly responding to patient demand for flexible access within the United Kingdom's largest urban healthcare network.</w:t>
      </w:r>
    </w:p>
    <w:bookmarkEnd w:id="23"/>
    <w:bookmarkStart w:id="26" w:name="X5d2cdd59640dfe883e9bef7e9d7868415febd7a"/>
    <w:p>
      <w:pPr>
        <w:pStyle w:val="Heading2"/>
      </w:pPr>
      <w:r>
        <w:t xml:space="preserve">Key Performance Indicators: London GP Sales Metrics</w:t>
      </w:r>
    </w:p>
    <w:bookmarkStart w:id="24" w:name="patient-acquisition-retention"/>
    <w:p>
      <w:pPr>
        <w:pStyle w:val="Heading3"/>
      </w:pPr>
      <w:r>
        <w:t xml:space="preserve">Patient Acquisition &amp; Retention</w:t>
      </w:r>
    </w:p>
    <w:p>
      <w:pPr>
        <w:pStyle w:val="FirstParagraph"/>
      </w:pPr>
      <w:r>
        <w:t xml:space="preserve">London-based Doctor General Practitioner practices achieved remarkable results in patient acquisition during Q1 2023:</w:t>
      </w:r>
    </w:p>
    <w:p>
      <w:pPr>
        <w:numPr>
          <w:ilvl w:val="0"/>
          <w:numId w:val="1001"/>
        </w:numPr>
        <w:pStyle w:val="Compact"/>
      </w:pPr>
      <w:r>
        <w:rPr>
          <w:bCs/>
          <w:b/>
        </w:rPr>
        <w:t xml:space="preserve">Net New Patients:</w:t>
      </w:r>
      <w:r>
        <w:t xml:space="preserve"> </w:t>
      </w:r>
      <w:r>
        <w:t xml:space="preserve">47,500 (up 14.8% YoY), with Westminster and Camden accounting for 39% of new registrations</w:t>
      </w:r>
    </w:p>
    <w:p>
      <w:pPr>
        <w:numPr>
          <w:ilvl w:val="0"/>
          <w:numId w:val="1001"/>
        </w:numPr>
        <w:pStyle w:val="Compact"/>
      </w:pPr>
      <w:r>
        <w:rPr>
          <w:bCs/>
          <w:b/>
        </w:rPr>
        <w:t xml:space="preserve">Patient Retention Rate:</w:t>
      </w:r>
      <w:r>
        <w:t xml:space="preserve"> </w:t>
      </w:r>
      <w:r>
        <w:t xml:space="preserve">86.2% (vs. London average of 81.7%) – driven by our personalized care pathway system</w:t>
      </w:r>
    </w:p>
    <w:p>
      <w:pPr>
        <w:numPr>
          <w:ilvl w:val="0"/>
          <w:numId w:val="1001"/>
        </w:numPr>
        <w:pStyle w:val="Compact"/>
      </w:pPr>
      <w:r>
        <w:rPr>
          <w:bCs/>
          <w:b/>
        </w:rPr>
        <w:t xml:space="preserve">Referral Rate to Specialists:</w:t>
      </w:r>
      <w:r>
        <w:t xml:space="preserve"> </w:t>
      </w:r>
      <w:r>
        <w:t xml:space="preserve">32% (London NHS average: 25%) indicating efficient triage systems</w:t>
      </w:r>
    </w:p>
    <w:bookmarkEnd w:id="24"/>
    <w:bookmarkStart w:id="25" w:name="sales-efficiency-metrics"/>
    <w:p>
      <w:pPr>
        <w:pStyle w:val="Heading3"/>
      </w:pPr>
      <w:r>
        <w:t xml:space="preserve">Sales Efficiency Metrics</w:t>
      </w:r>
    </w:p>
    <w:p>
      <w:pPr>
        <w:pStyle w:val="FirstParagraph"/>
      </w:pPr>
      <w:r>
        <w:t xml:space="preserve">KPI</w:t>
      </w:r>
    </w:p>
    <w:bookmarkEnd w:id="25"/>
    <w:bookmarkEnd w:id="26"/>
    <w:p>
      <w:pPr>
        <w:pStyle w:val="BodyText"/>
      </w:pPr>
      <w:r>
        <w:t xml:space="preserve">Q1 2023</w:t>
      </w:r>
    </w:p>
    <w:p>
      <w:pPr>
        <w:pStyle w:val="BodyText"/>
      </w:pPr>
      <w:r>
        <w:t xml:space="preserve">Industry Benchmark (London)</w:t>
      </w:r>
    </w:p>
    <w:p>
      <w:pPr>
        <w:pStyle w:val="BodyText"/>
      </w:pPr>
      <w:r>
        <w:t xml:space="preserve">Patient Acquisition Cost (£)</w:t>
      </w:r>
    </w:p>
    <w:p>
      <w:pPr>
        <w:pStyle w:val="BodyText"/>
      </w:pPr>
      <w:r>
        <w:t xml:space="preserve">£68</w:t>
      </w:r>
    </w:p>
    <w:p>
      <w:pPr>
        <w:pStyle w:val="BodyText"/>
      </w:pPr>
      <w:r>
        <w:t xml:space="preserve">£94</w:t>
      </w:r>
    </w:p>
    <w:p>
      <w:pPr>
        <w:pStyle w:val="BodyText"/>
      </w:pPr>
      <w:r>
        <w:t xml:space="preserve">Average Consultation Revenue (£)</w:t>
      </w:r>
    </w:p>
    <w:p>
      <w:pPr>
        <w:pStyle w:val="BodyText"/>
      </w:pPr>
      <w:r>
        <w:t xml:space="preserve">£52.70</w:t>
      </w:r>
    </w:p>
    <w:p>
      <w:pPr>
        <w:pStyle w:val="BodyText"/>
      </w:pPr>
      <w:r>
        <w:t xml:space="preserve">£48.30</w:t>
      </w:r>
    </w:p>
    <w:p>
      <w:pPr>
        <w:pStyle w:val="BodyText"/>
      </w:pPr>
      <w:r>
        <w:t xml:space="preserve">Patient Satisfaction Score (NPS)</w:t>
      </w:r>
    </w:p>
    <w:p>
      <w:pPr>
        <w:pStyle w:val="BodyText"/>
      </w:pPr>
      <w:r>
        <w:t xml:space="preserve">68</w:t>
      </w:r>
    </w:p>
    <w:p>
      <w:pPr>
        <w:pStyle w:val="BodyText"/>
      </w:pPr>
      <w:r>
        <w:t xml:space="preserve">52</w:t>
      </w:r>
    </w:p>
    <w:p>
      <w:pPr>
        <w:pStyle w:val="BodyText"/>
      </w:pPr>
      <w:r>
        <w:t xml:space="preserve">The data confirms that our London-based Doctor General Practitioner services deliver superior cost efficiency while maintaining exceptional patient experience – a critical differentiator in the competitive United Kingdom healthcare market.</w:t>
      </w:r>
    </w:p>
    <w:bookmarkStart w:id="29" w:name="challenges-strategic-opportunities"/>
    <w:p>
      <w:pPr>
        <w:pStyle w:val="Heading2"/>
      </w:pPr>
      <w:r>
        <w:t xml:space="preserve">Challenges &amp; Strategic Opportunities</w:t>
      </w:r>
    </w:p>
    <w:bookmarkStart w:id="27" w:name="current-market-pressures"/>
    <w:p>
      <w:pPr>
        <w:pStyle w:val="Heading3"/>
      </w:pPr>
      <w:r>
        <w:t xml:space="preserve">Current Market Pressures</w:t>
      </w:r>
    </w:p>
    <w:p>
      <w:pPr>
        <w:pStyle w:val="FirstParagraph"/>
      </w:pPr>
      <w:r>
        <w:t xml:space="preserve">This Sales Report identifies three primary challenges facing Doctor General Practitioner practices in London:</w:t>
      </w:r>
    </w:p>
    <w:p>
      <w:pPr>
        <w:numPr>
          <w:ilvl w:val="0"/>
          <w:numId w:val="1002"/>
        </w:numPr>
        <w:pStyle w:val="Compact"/>
      </w:pPr>
      <w:r>
        <w:rPr>
          <w:bCs/>
          <w:b/>
        </w:rPr>
        <w:t xml:space="preserve">NHS Funding Constraints:</w:t>
      </w:r>
      <w:r>
        <w:t xml:space="preserve"> </w:t>
      </w:r>
      <w:r>
        <w:t xml:space="preserve">Despite increased consultation volumes, NHS commissioning rates remain stagnant at 2021 levels, creating margin pressure for practices</w:t>
      </w:r>
    </w:p>
    <w:p>
      <w:pPr>
        <w:numPr>
          <w:ilvl w:val="0"/>
          <w:numId w:val="1002"/>
        </w:numPr>
        <w:pStyle w:val="Compact"/>
      </w:pPr>
      <w:r>
        <w:rPr>
          <w:bCs/>
          <w:b/>
        </w:rPr>
        <w:t xml:space="preserve">Staff Retention Crisis:</w:t>
      </w:r>
      <w:r>
        <w:t xml:space="preserve"> </w:t>
      </w:r>
      <w:r>
        <w:t xml:space="preserve">28% of London GP vacancies remain unfilled (vs. national average of 19%), directly impacting service capacity</w:t>
      </w:r>
    </w:p>
    <w:p>
      <w:pPr>
        <w:numPr>
          <w:ilvl w:val="0"/>
          <w:numId w:val="1002"/>
        </w:numPr>
        <w:pStyle w:val="Compact"/>
      </w:pPr>
      <w:r>
        <w:rPr>
          <w:bCs/>
          <w:b/>
        </w:rPr>
        <w:t xml:space="preserve">Private Sector Competition:</w:t>
      </w:r>
      <w:r>
        <w:t xml:space="preserve"> </w:t>
      </w:r>
      <w:r>
        <w:t xml:space="preserve">New premium medical centers in Canary Wharf and Shoreditch are capturing high-value private patients</w:t>
      </w:r>
    </w:p>
    <w:bookmarkEnd w:id="27"/>
    <w:bookmarkStart w:id="28" w:name="emerging-growth-opportunities"/>
    <w:p>
      <w:pPr>
        <w:pStyle w:val="Heading3"/>
      </w:pPr>
      <w:r>
        <w:t xml:space="preserve">Emerging Growth Opportunities</w:t>
      </w:r>
    </w:p>
    <w:p>
      <w:pPr>
        <w:pStyle w:val="FirstParagraph"/>
      </w:pPr>
      <w:r>
        <w:t xml:space="preserve">The United Kingdom London market presents significant opportunities for strategic expansion:</w:t>
      </w:r>
    </w:p>
    <w:p>
      <w:pPr>
        <w:numPr>
          <w:ilvl w:val="0"/>
          <w:numId w:val="1003"/>
        </w:numPr>
        <w:pStyle w:val="Compact"/>
      </w:pPr>
      <w:r>
        <w:rPr>
          <w:bCs/>
          <w:b/>
        </w:rPr>
        <w:t xml:space="preserve">Corporate Health Partnerships:</w:t>
      </w:r>
      <w:r>
        <w:t xml:space="preserve"> </w:t>
      </w:r>
      <w:r>
        <w:t xml:space="preserve">14 new major London employers (including financial institutions and tech firms) have signed GP service contracts since January, representing £2.3M annual revenue potential</w:t>
      </w:r>
    </w:p>
    <w:p>
      <w:pPr>
        <w:numPr>
          <w:ilvl w:val="0"/>
          <w:numId w:val="1003"/>
        </w:numPr>
        <w:pStyle w:val="Compact"/>
      </w:pPr>
      <w:r>
        <w:rPr>
          <w:bCs/>
          <w:b/>
        </w:rPr>
        <w:t xml:space="preserve">Digital Health Integration:</w:t>
      </w:r>
      <w:r>
        <w:t xml:space="preserve"> </w:t>
      </w:r>
      <w:r>
        <w:t xml:space="preserve">Demand for AI-assisted triage systems is growing at 75% annually in London practices – positioning us to lead the next generation of Doctor General Practitioner services</w:t>
      </w:r>
    </w:p>
    <w:p>
      <w:pPr>
        <w:numPr>
          <w:ilvl w:val="0"/>
          <w:numId w:val="1003"/>
        </w:numPr>
        <w:pStyle w:val="Compact"/>
      </w:pPr>
      <w:r>
        <w:rPr>
          <w:bCs/>
          <w:b/>
        </w:rPr>
        <w:t xml:space="preserve">Specialized GP Services:</w:t>
      </w:r>
      <w:r>
        <w:t xml:space="preserve"> </w:t>
      </w:r>
      <w:r>
        <w:t xml:space="preserve">Growing demand for mental health-focused GPs (+41% YoY) and geriatric specialists presents untapped revenue streams</w:t>
      </w:r>
    </w:p>
    <w:p>
      <w:pPr>
        <w:pStyle w:val="FirstParagraph"/>
      </w:pPr>
      <w:r>
        <w:rPr>
          <w:bCs/>
          <w:b/>
        </w:rPr>
        <w:t xml:space="preserve">Strategic Recommendation:</w:t>
      </w:r>
      <w:r>
        <w:t xml:space="preserve"> </w:t>
      </w:r>
      <w:r>
        <w:t xml:space="preserve">Accelerate investment in London's north-south corridor (Borough to Camden) where 68% of high-growth business districts lack dedicated GP access, creating immediate market opportunity for our Doctor General Practitioner network.</w:t>
      </w:r>
    </w:p>
    <w:bookmarkEnd w:id="28"/>
    <w:bookmarkEnd w:id="29"/>
    <w:bookmarkStart w:id="30" w:name="X6759c3d55dbd6fe48483436d1f6fd4211208375"/>
    <w:p>
      <w:pPr>
        <w:pStyle w:val="Heading2"/>
      </w:pPr>
      <w:r>
        <w:t xml:space="preserve">Conclusion: The Future of GP Sales in London</w:t>
      </w:r>
    </w:p>
    <w:p>
      <w:pPr>
        <w:pStyle w:val="FirstParagraph"/>
      </w:pPr>
      <w:r>
        <w:t xml:space="preserve">This Sales Report confirms that the Doctor General Practitioner model continues to thrive within United Kingdom London's dynamic healthcare environment. Our Q1 performance demonstrates that strategic diversification, technological adaptation, and hyper-local market understanding are key drivers of success. The 12.7% consultation growth in London – significantly outperforming the national average – validates our approach to building accessible primary care networks across diverse urban communities.</w:t>
      </w:r>
    </w:p>
    <w:p>
      <w:pPr>
        <w:pStyle w:val="BodyText"/>
      </w:pPr>
      <w:r>
        <w:t xml:space="preserve">As we move into Q2 2023, we will prioritize three critical initiatives: (1) expanding private telemedicine services to capture the growing corporate health market, (2) developing specialized GP pathways for London's aging population in boroughs like Lambeth and Southwark, and (3) implementing AI-driven patient flow optimization to reduce wait times by 25% across all practices. These initiatives directly address the most pressing needs identified in our London GP sales performance analysis.</w:t>
      </w:r>
    </w:p>
    <w:p>
      <w:pPr>
        <w:pStyle w:val="BodyText"/>
      </w:pPr>
      <w:r>
        <w:t xml:space="preserve">The United Kingdom's National Health Service transformation agenda presents unprecedented opportunity for forward-thinking Doctor General Practitioner networks. Our Sales Report demonstrates that by focusing on patient-centric service models while strategically diversifying revenue streams, London practices can achieve sustainable growth even amid systemic challenges. This document serves as both a performance record and a strategic roadmap for continued leadership in the UK's most competitive healthcare market.</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April 15, 2023 |</w:t>
      </w:r>
      <w:r>
        <w:t xml:space="preserve"> </w:t>
      </w:r>
      <w:r>
        <w:rPr>
          <w:bCs/>
          <w:b/>
        </w:rPr>
        <w:t xml:space="preserve">Prepared by:</w:t>
      </w:r>
      <w:r>
        <w:t xml:space="preserve"> </w:t>
      </w:r>
      <w:r>
        <w:t xml:space="preserve">London Healthcare Analytics Division</w:t>
      </w:r>
    </w:p>
    <w:bookmarkEnd w:id="30"/>
    <w:p>
      <w:pPr>
        <w:pStyle w:val="BodyText"/>
      </w:pPr>
      <w:r>
        <w:t xml:space="preserve">This Sales Report represents aggregated data from 87 General Practitioner practices across Greater London, serving over 350,000 registered patients. All metrics are verified against NHS Digital and Care Quality Commission databases.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General Practitioner Sales Performance Report - Q1 2023</dc:title>
  <dc:creator/>
  <dc:language>en</dc:language>
  <cp:keywords/>
  <dcterms:created xsi:type="dcterms:W3CDTF">2026-07-24T14:46:38Z</dcterms:created>
  <dcterms:modified xsi:type="dcterms:W3CDTF">2026-07-24T14:46:38Z</dcterms:modified>
</cp:coreProperties>
</file>

<file path=docProps/custom.xml><?xml version="1.0" encoding="utf-8"?>
<Properties xmlns="http://schemas.openxmlformats.org/officeDocument/2006/custom-properties" xmlns:vt="http://schemas.openxmlformats.org/officeDocument/2006/docPropsVTypes"/>
</file>