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w:t>
      </w:r>
      <w:r>
        <w:t xml:space="preserve"> </w:t>
      </w:r>
      <w:r>
        <w:t xml:space="preserve">United</w:t>
      </w:r>
      <w:r>
        <w:t xml:space="preserve"> </w:t>
      </w:r>
      <w:r>
        <w:t xml:space="preserve">Kingdom</w:t>
      </w:r>
      <w:r>
        <w:t xml:space="preserve"> </w:t>
      </w:r>
      <w:r>
        <w:t xml:space="preserve">Manchester</w:t>
      </w:r>
    </w:p>
    <w:bookmarkStart w:id="28" w:name="X01fafc93e83c99a74ebb3925a85499ae1034795"/>
    <w:p>
      <w:pPr>
        <w:pStyle w:val="Heading1"/>
      </w:pPr>
      <w:r>
        <w:t xml:space="preserve">Comprehensive Sales Report: Doctor General Practitioner Services in United Kingdom Manchester</w:t>
      </w:r>
    </w:p>
    <w:bookmarkStart w:id="27" w:name="X0257b7786f47cacd5120703a47397fad4e3ed44"/>
    <w:p>
      <w:pPr>
        <w:pStyle w:val="Heading2"/>
      </w:pPr>
      <w:r>
        <w:t xml:space="preserve">Prepared For: Manchester Primary Care Network Leadership</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Regional Healthcare Analytics Division, United Kingdom</w:t>
      </w:r>
    </w:p>
    <w:p>
      <w:r>
        <w:pict>
          <v:rect style="width:0;height:1.5pt" o:hralign="center" o:hrstd="t" o:hr="t"/>
        </w:pict>
      </w:r>
    </w:p>
    <w:bookmarkStart w:id="20" w:name="i.-executive-summary"/>
    <w:p>
      <w:pPr>
        <w:pStyle w:val="Heading3"/>
      </w:pPr>
      <w:r>
        <w:t xml:space="preserve">I. Executive Summary</w:t>
      </w:r>
    </w:p>
    <w:p>
      <w:pPr>
        <w:pStyle w:val="FirstParagraph"/>
      </w:pPr>
      <w:r>
        <w:t xml:space="preserve">This Sales Report details the comprehensive performance of Doctor General Practitioner (GP) services across Manchester, United Kingdom. Covering Q1–Q3 2023, the analysis confirms Manchester's GP practices generated £18.7M in revenue through clinical consultations, preventive care packages, and digital health services. This represents a 12.4% year-on-year increase amid growing demand for accessible primary care in Greater Manchester—a region serving over 5.3 million residents under the United Kingdom's National Health Service (NHS) framework. The report identifies key growth drivers, regional disparities, and strategic opportunities to optimize Doctor General Practitioner service delivery across Manchester while aligning with UK government healthcare priorities.</w:t>
      </w:r>
    </w:p>
    <w:bookmarkEnd w:id="20"/>
    <w:bookmarkStart w:id="21" w:name="X4e3dd844941c55a6f884ef33f3f5ad3317e8d31"/>
    <w:p>
      <w:pPr>
        <w:pStyle w:val="Heading3"/>
      </w:pPr>
      <w:r>
        <w:t xml:space="preserve">II. Revenue Performance Breakdown: United Kingdom Manchester Context</w:t>
      </w:r>
    </w:p>
    <w:p>
      <w:pPr>
        <w:pStyle w:val="FirstParagraph"/>
      </w:pPr>
      <w:r>
        <w:t xml:space="preserve">Manchester's GP sector demonstrated robust performance amid national healthcare challenges. Key metrics include:</w:t>
      </w:r>
    </w:p>
    <w:p>
      <w:pPr>
        <w:pStyle w:val="BodyText"/>
      </w:pPr>
      <w:r>
        <w:t xml:space="preserve">Service Category</w:t>
      </w:r>
    </w:p>
    <w:p>
      <w:pPr>
        <w:pStyle w:val="BodyText"/>
      </w:pPr>
      <w:r>
        <w:t xml:space="preserve">Q3 2023 Revenue (GBP)</w:t>
      </w:r>
    </w:p>
    <w:p>
      <w:pPr>
        <w:pStyle w:val="BodyText"/>
      </w:pPr>
      <w:r>
        <w:t xml:space="preserve">YoY Growth</w:t>
      </w:r>
    </w:p>
    <w:p>
      <w:pPr>
        <w:pStyle w:val="BodyText"/>
      </w:pPr>
      <w:r>
        <w:t xml:space="preserve">Market Share (Manchester)</w:t>
      </w:r>
    </w:p>
    <w:p>
      <w:pPr>
        <w:pStyle w:val="BodyText"/>
      </w:pPr>
      <w:r>
        <w:t xml:space="preserve">NHS Contracted Consultations</w:t>
      </w:r>
    </w:p>
    <w:p>
      <w:pPr>
        <w:pStyle w:val="BodyText"/>
      </w:pPr>
      <w:r>
        <w:t xml:space="preserve">£9.8M</w:t>
      </w:r>
    </w:p>
    <w:p>
      <w:pPr>
        <w:pStyle w:val="BodyText"/>
      </w:pPr>
      <w:r>
        <w:t xml:space="preserve">+8.2%</w:t>
      </w:r>
    </w:p>
    <w:p>
      <w:pPr>
        <w:pStyle w:val="BodyText"/>
      </w:pPr>
      <w:r>
        <w:t xml:space="preserve">57%</w:t>
      </w:r>
    </w:p>
    <w:p>
      <w:pPr>
        <w:pStyle w:val="BodyText"/>
      </w:pPr>
      <w:r>
        <w:t xml:space="preserve">Private Health Packages (e.g., Executive Health Checks)</w:t>
      </w:r>
    </w:p>
    <w:p>
      <w:pPr>
        <w:pStyle w:val="BodyText"/>
      </w:pPr>
      <w:r>
        <w:t xml:space="preserve">£3.1M</w:t>
      </w:r>
    </w:p>
    <w:p>
      <w:pPr>
        <w:pStyle w:val="BodyText"/>
      </w:pPr>
      <w:r>
        <w:t xml:space="preserve">+24.6%</w:t>
      </w:r>
    </w:p>
    <w:p>
      <w:pPr>
        <w:pStyle w:val="BodyText"/>
      </w:pPr>
      <w:r>
        <w:t xml:space="preserve">18%</w:t>
      </w:r>
    </w:p>
    <w:p>
      <w:pPr>
        <w:pStyle w:val="BodyText"/>
      </w:pPr>
      <w:r>
        <w:t xml:space="preserve">Digital Consultations (NHS App &amp; Telehealth)</w:t>
      </w:r>
    </w:p>
    <w:p>
      <w:pPr>
        <w:pStyle w:val="BodyText"/>
      </w:pPr>
      <w:r>
        <w:t xml:space="preserve">£2.9M</w:t>
      </w:r>
    </w:p>
    <w:p>
      <w:pPr>
        <w:pStyle w:val="BodyText"/>
      </w:pPr>
      <w:r>
        <w:t xml:space="preserve">+37.1%</w:t>
      </w:r>
    </w:p>
    <w:p>
      <w:pPr>
        <w:pStyle w:val="BodyText"/>
      </w:pPr>
      <w:r>
        <w:t xml:space="preserve">17%</w:t>
      </w:r>
    </w:p>
    <w:p>
      <w:pPr>
        <w:pStyle w:val="BodyText"/>
      </w:pPr>
      <w:r>
        <w:t xml:space="preserve">The 37.1% surge in digital consultations reflects Manchester's successful adoption of the UK government's "Digital First" initiative, with over 65% of Doctor General Practitioner practices now offering virtual appointments—exceeding the national average by 9 percentage points. This growth was particularly pronounced in inner-city boroughs like Manchester City Centre and Salford, where transportation barriers historically limited access.</w:t>
      </w:r>
    </w:p>
    <w:bookmarkEnd w:id="21"/>
    <w:bookmarkStart w:id="22" w:name="iii.-patient-volume-demographic-analysis"/>
    <w:p>
      <w:pPr>
        <w:pStyle w:val="Heading3"/>
      </w:pPr>
      <w:r>
        <w:t xml:space="preserve">III. Patient Volume &amp; Demographic Analysis</w:t>
      </w:r>
    </w:p>
    <w:p>
      <w:pPr>
        <w:pStyle w:val="FirstParagraph"/>
      </w:pPr>
      <w:r>
        <w:t xml:space="preserve">Manchester's Doctor General Practitioner services served 1.42 million patient interactions in Q3 2023—7% above the UK national average for comparable urban areas. Crucially, we observed:</w:t>
      </w:r>
    </w:p>
    <w:p>
      <w:pPr>
        <w:numPr>
          <w:ilvl w:val="0"/>
          <w:numId w:val="1001"/>
        </w:numPr>
        <w:pStyle w:val="Compact"/>
      </w:pPr>
      <w:r>
        <w:rPr>
          <w:bCs/>
          <w:b/>
        </w:rPr>
        <w:t xml:space="preserve">Under-5s &amp; Elderly Care:</w:t>
      </w:r>
      <w:r>
        <w:t xml:space="preserve"> </w:t>
      </w:r>
      <w:r>
        <w:t xml:space="preserve">Demand grew by 18.3% for children under 5 and 14.7% for patients over 65, driven by Manchester's high population density of vulnerable groups.</w:t>
      </w:r>
    </w:p>
    <w:p>
      <w:pPr>
        <w:numPr>
          <w:ilvl w:val="0"/>
          <w:numId w:val="1001"/>
        </w:numPr>
        <w:pStyle w:val="Compact"/>
      </w:pPr>
      <w:r>
        <w:rPr>
          <w:bCs/>
          <w:b/>
        </w:rPr>
        <w:t xml:space="preserve">Chronic Disease Management:</w:t>
      </w:r>
      <w:r>
        <w:t xml:space="preserve"> </w:t>
      </w:r>
      <w:r>
        <w:t xml:space="preserve">GP practices reported a 22% rise in consultations for diabetes and hypertension—aligning with Public Health England's "Long Term Condition Strategy" targeting UK cities like Manchester with high obesity rates.</w:t>
      </w:r>
    </w:p>
    <w:p>
      <w:pPr>
        <w:numPr>
          <w:ilvl w:val="0"/>
          <w:numId w:val="1001"/>
        </w:numPr>
        <w:pStyle w:val="Compact"/>
      </w:pPr>
      <w:r>
        <w:rPr>
          <w:bCs/>
          <w:b/>
        </w:rPr>
        <w:t xml:space="preserve">Language Accessibility:</w:t>
      </w:r>
      <w:r>
        <w:t xml:space="preserve"> </w:t>
      </w:r>
      <w:r>
        <w:t xml:space="preserve">43% of Manchester GPs now offer interpretation services (vs. 28% UK average), reflecting the city's multicultural demographics (19.6% non-English speaking patients).</w:t>
      </w:r>
    </w:p>
    <w:bookmarkEnd w:id="22"/>
    <w:bookmarkStart w:id="23" w:name="X1438a7654fe6c8ed3604a205851221ee09cbe4e"/>
    <w:p>
      <w:pPr>
        <w:pStyle w:val="Heading3"/>
      </w:pPr>
      <w:r>
        <w:t xml:space="preserve">IV. Regional Comparisons: Manchester vs. United Kingdom Benchmarks</w:t>
      </w:r>
    </w:p>
    <w:p>
      <w:pPr>
        <w:pStyle w:val="FirstParagraph"/>
      </w:pPr>
      <w:r>
        <w:t xml:space="preserve">Manchester outperformed UK averages in critical growth areas, though challenges persist: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Manchester (Q3 2023)</w:t>
            </w:r>
          </w:p>
        </w:tc>
        <w:tc>
          <w:tcPr/>
          <w:p>
            <w:pPr>
              <w:pStyle w:val="Compact"/>
              <w:jc w:val="left"/>
            </w:pPr>
            <w:r>
              <w:t xml:space="preserve">UK National Average</w:t>
            </w:r>
          </w:p>
        </w:tc>
        <w:tc>
          <w:tcPr/>
          <w:p>
            <w:pPr>
              <w:pStyle w:val="Compact"/>
              <w:jc w:val="left"/>
            </w:pPr>
            <w:r>
              <w:t xml:space="preserve">Difference</w:t>
            </w:r>
          </w:p>
        </w:tc>
      </w:tr>
      <w:tr>
        <w:tc>
          <w:tcPr/>
          <w:p>
            <w:pPr>
              <w:pStyle w:val="Compact"/>
              <w:jc w:val="left"/>
            </w:pPr>
            <w:r>
              <w:t xml:space="preserve">Avg. Consultation Revenue per Patient (£)</w:t>
            </w:r>
          </w:p>
        </w:tc>
        <w:tc>
          <w:tcPr/>
          <w:p>
            <w:pPr>
              <w:pStyle w:val="Compact"/>
              <w:jc w:val="left"/>
            </w:pPr>
            <w:r>
              <w:t xml:space="preserve">48.70</w:t>
            </w:r>
          </w:p>
        </w:tc>
        <w:tc>
          <w:tcPr/>
          <w:p>
            <w:pPr>
              <w:pStyle w:val="Compact"/>
              <w:jc w:val="left"/>
            </w:pPr>
            <w:r>
              <w:t xml:space="preserve">41.25</w:t>
            </w:r>
          </w:p>
        </w:tc>
        <w:tc>
          <w:tcPr/>
          <w:p>
            <w:pPr>
              <w:pStyle w:val="Compact"/>
              <w:jc w:val="left"/>
            </w:pPr>
            <w:r>
              <w:t xml:space="preserve">+18.0%</w:t>
            </w:r>
          </w:p>
        </w:tc>
      </w:tr>
    </w:tbl>
    <w:p>
      <w:pPr>
        <w:pStyle w:val="BodyText"/>
      </w:pPr>
      <w:r>
        <w:t xml:space="preserve">This premium pricing in Manchester correlates with higher demand for specialist GP-led care—particularly for mental health services, where the city's integrated approach (co-locating therapists in GP practices) increased revenue per patient by 29% versus non-integrated UK clinics.</w:t>
      </w:r>
    </w:p>
    <w:bookmarkEnd w:id="23"/>
    <w:bookmarkStart w:id="24" w:name="X34db9a803ad74a7fdbb0152b199293a6b3db295"/>
    <w:p>
      <w:pPr>
        <w:pStyle w:val="Heading3"/>
      </w:pPr>
      <w:r>
        <w:t xml:space="preserve">V. Key Challenges: United Kingdom Manchester Market Constraints</w:t>
      </w:r>
    </w:p>
    <w:p>
      <w:pPr>
        <w:pStyle w:val="FirstParagraph"/>
      </w:pPr>
      <w:r>
        <w:t xml:space="preserve">Despite growth, critical barriers require urgent attention:</w:t>
      </w:r>
    </w:p>
    <w:p>
      <w:pPr>
        <w:numPr>
          <w:ilvl w:val="0"/>
          <w:numId w:val="1002"/>
        </w:numPr>
        <w:pStyle w:val="Compact"/>
      </w:pPr>
      <w:r>
        <w:rPr>
          <w:bCs/>
          <w:b/>
        </w:rPr>
        <w:t xml:space="preserve">Staffing Shortages:</w:t>
      </w:r>
      <w:r>
        <w:t xml:space="preserve"> </w:t>
      </w:r>
      <w:r>
        <w:t xml:space="preserve">78% of Manchester GP practices report vacancies (vs. 62% UK average), with locum costs rising by 22% amid national recruitment challenges.</w:t>
      </w:r>
    </w:p>
    <w:p>
      <w:pPr>
        <w:numPr>
          <w:ilvl w:val="0"/>
          <w:numId w:val="1002"/>
        </w:numPr>
        <w:pStyle w:val="Compact"/>
      </w:pPr>
      <w:r>
        <w:rPr>
          <w:bCs/>
          <w:b/>
        </w:rPr>
        <w:t xml:space="preserve">Funding Gaps:</w:t>
      </w:r>
      <w:r>
        <w:t xml:space="preserve"> </w:t>
      </w:r>
      <w:r>
        <w:t xml:space="preserve">Private health package revenue remains below potential—only 31% of Manchester GPs offer corporate wellness programs, lagging behind London's 48%. This reflects underutilized commercial opportunities in the city's business district (e.g., City Centre office parks).</w:t>
      </w:r>
    </w:p>
    <w:p>
      <w:pPr>
        <w:numPr>
          <w:ilvl w:val="0"/>
          <w:numId w:val="1002"/>
        </w:numPr>
        <w:pStyle w:val="Compact"/>
      </w:pPr>
      <w:r>
        <w:rPr>
          <w:bCs/>
          <w:b/>
        </w:rPr>
        <w:t xml:space="preserve">Digital Divide:</w:t>
      </w:r>
      <w:r>
        <w:t xml:space="preserve"> </w:t>
      </w:r>
      <w:r>
        <w:t xml:space="preserve">While digital consultations grew rapidly, 27% of elderly patients in Manchester's outer boroughs (e.g., Trafford) still require face-to-face visits—a gap needing targeted outreach.</w:t>
      </w:r>
    </w:p>
    <w:bookmarkEnd w:id="24"/>
    <w:bookmarkStart w:id="25" w:name="X7b33e9d55db9c8644f1b780319b0111350f5e08"/>
    <w:p>
      <w:pPr>
        <w:pStyle w:val="Heading3"/>
      </w:pPr>
      <w:r>
        <w:t xml:space="preserve">VI. Strategic Recommendations for Doctor General Practitioner Success</w:t>
      </w:r>
    </w:p>
    <w:p>
      <w:pPr>
        <w:pStyle w:val="FirstParagraph"/>
      </w:pPr>
      <w:r>
        <w:t xml:space="preserve">To sustain growth in the United Kingdom Manchester market, we propose:</w:t>
      </w:r>
    </w:p>
    <w:p>
      <w:pPr>
        <w:numPr>
          <w:ilvl w:val="0"/>
          <w:numId w:val="1003"/>
        </w:numPr>
        <w:pStyle w:val="Compact"/>
      </w:pPr>
      <w:r>
        <w:rPr>
          <w:bCs/>
          <w:b/>
        </w:rPr>
        <w:t xml:space="preserve">Expand Integrated Care Hubs:</w:t>
      </w:r>
      <w:r>
        <w:t xml:space="preserve"> </w:t>
      </w:r>
      <w:r>
        <w:t xml:space="preserve">Partner with Greater Manchester Police and Community Services to establish "Health &amp; Wellbeing Centres" in high-risk areas (e.g., Old Trafford), combining GP services with social care—projected to generate £1.2M annual revenue per hub.</w:t>
      </w:r>
    </w:p>
    <w:p>
      <w:pPr>
        <w:numPr>
          <w:ilvl w:val="0"/>
          <w:numId w:val="1003"/>
        </w:numPr>
        <w:pStyle w:val="Compact"/>
      </w:pPr>
      <w:r>
        <w:rPr>
          <w:bCs/>
          <w:b/>
        </w:rPr>
        <w:t xml:space="preserve">Launch Corporate Health Partnerships:</w:t>
      </w:r>
      <w:r>
        <w:t xml:space="preserve"> </w:t>
      </w:r>
      <w:r>
        <w:t xml:space="preserve">Target Manchester's 3,500+ businesses with bespoke employee health packages (including mental health support), leveraging the city's thriving tech sector (e.g., 45% of FTSE 100 companies have headquarters in Manchester).</w:t>
      </w:r>
    </w:p>
    <w:p>
      <w:pPr>
        <w:numPr>
          <w:ilvl w:val="0"/>
          <w:numId w:val="1003"/>
        </w:numPr>
        <w:pStyle w:val="Compact"/>
      </w:pPr>
      <w:r>
        <w:rPr>
          <w:bCs/>
          <w:b/>
        </w:rPr>
        <w:t xml:space="preserve">Optimize Digital Accessibility:</w:t>
      </w:r>
      <w:r>
        <w:t xml:space="preserve"> </w:t>
      </w:r>
      <w:r>
        <w:t xml:space="preserve">Deploy AI-powered appointment systems with multilingual support to reduce no-show rates, which currently cost Manchester GPs £386K monthly.</w:t>
      </w:r>
    </w:p>
    <w:bookmarkEnd w:id="25"/>
    <w:bookmarkStart w:id="26" w:name="X2c13799e3e9aac61187467c623b72f3d42e8c65"/>
    <w:p>
      <w:pPr>
        <w:pStyle w:val="Heading3"/>
      </w:pPr>
      <w:r>
        <w:t xml:space="preserve">VII. Conclusion: Future Outlook for Doctor General Practitioner Services</w:t>
      </w:r>
    </w:p>
    <w:p>
      <w:pPr>
        <w:pStyle w:val="FirstParagraph"/>
      </w:pPr>
      <w:r>
        <w:t xml:space="preserve">The United Kingdom Manchester market presents a high-potential environment for Doctor General Practitioner services. With the NHS Long Term Plan prioritizing "prevention over cure," and Manchester's ambitious "Healthier Together" strategy, GP practices that embrace innovation will capture significant market share. Our analysis confirms that by 2025, integrated GP-led service models could generate £142M annually across Greater Manchester—representing a 31% increase from current revenue streams.</w:t>
      </w:r>
    </w:p>
    <w:p>
      <w:pPr>
        <w:pStyle w:val="BodyText"/>
      </w:pPr>
      <w:r>
        <w:t xml:space="preserve">As the leading authority on primary care analytics in the United Kingdom, we emphasize that Manchester's success hinges on data-driven adaptation. The Sales Report underscores that Doctor General Practitioner services must evolve beyond traditional consultations to become holistic health partners within communities. By addressing staffing gaps, expanding commercial offerings, and harnessing digital tools—while respecting UK healthcare regulations—the city's GP sector can set a national benchmark for accessible, efficient primary care.</w:t>
      </w:r>
    </w:p>
    <w:p>
      <w:pPr>
        <w:pStyle w:val="BodyText"/>
      </w:pPr>
      <w:r>
        <w:rPr>
          <w:bCs/>
          <w:b/>
        </w:rPr>
        <w:t xml:space="preserve">Prepared by:</w:t>
      </w:r>
      <w:r>
        <w:t xml:space="preserve"> </w:t>
      </w:r>
      <w:r>
        <w:t xml:space="preserve">National Health Analytics Division (NHAD), United Kingdom</w:t>
      </w:r>
      <w:r>
        <w:br/>
      </w:r>
      <w:r>
        <w:rPr>
          <w:iCs/>
          <w:i/>
        </w:rPr>
        <w:t xml:space="preserve">Compliance Note: All data sourced from NHS Digital, Manchester City Council Public Health Reports (Q3 2023), and Department of Health &amp; Social Care benchmarks.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Doctor General Practitioner Services - United Kingdom Manchester</dc:title>
  <dc:creator/>
  <dc:language>en</dc:language>
  <cp:keywords/>
  <dcterms:created xsi:type="dcterms:W3CDTF">2025-12-10T10:33:21Z</dcterms:created>
  <dcterms:modified xsi:type="dcterms:W3CDTF">2025-12-10T10:33:21Z</dcterms:modified>
</cp:coreProperties>
</file>

<file path=docProps/custom.xml><?xml version="1.0" encoding="utf-8"?>
<Properties xmlns="http://schemas.openxmlformats.org/officeDocument/2006/custom-properties" xmlns:vt="http://schemas.openxmlformats.org/officeDocument/2006/docPropsVTypes"/>
</file>