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Los</w:t>
      </w:r>
      <w:r>
        <w:t xml:space="preserve"> </w:t>
      </w:r>
      <w:r>
        <w:t xml:space="preserve">Angeles</w:t>
      </w:r>
    </w:p>
    <w:bookmarkStart w:id="20" w:name="X6397a6e87ae48f37c76269ce2ef9ba7e4fa8cb7"/>
    <w:p>
      <w:pPr>
        <w:pStyle w:val="Heading1"/>
      </w:pPr>
      <w:r>
        <w:t xml:space="preserve">2023 Fourth Quarter Sales Report: General Practitioner Practice Performance Analysis</w:t>
      </w:r>
    </w:p>
    <w:p>
      <w:pPr>
        <w:pStyle w:val="FirstParagraph"/>
      </w:pPr>
      <w:r>
        <w:rPr>
          <w:bCs/>
          <w:b/>
        </w:rPr>
        <w:t xml:space="preserve">Prepared For:</w:t>
      </w:r>
      <w:r>
        <w:t xml:space="preserve"> </w:t>
      </w:r>
      <w:r>
        <w:t xml:space="preserve">Executive Leadership Team</w:t>
      </w:r>
      <w:r>
        <w:br/>
      </w:r>
      <w:r>
        <w:rPr>
          <w:bCs/>
          <w:b/>
        </w:rPr>
        <w:t xml:space="preserve">Geographic Focus:</w:t>
      </w:r>
      <w:r>
        <w:t xml:space="preserve"> </w:t>
      </w:r>
      <w:r>
        <w:t xml:space="preserve">United States - Los Angeles Metropolitan Area</w:t>
      </w:r>
      <w:r>
        <w:br/>
      </w:r>
      <w:r>
        <w:rPr>
          <w:bCs/>
          <w:b/>
        </w:rPr>
        <w:t xml:space="preserve">Date:</w:t>
      </w:r>
      <w:r>
        <w:t xml:space="preserve"> </w:t>
      </w:r>
      <w:r>
        <w:t xml:space="preserve">January 15, 2024</w:t>
      </w:r>
    </w:p>
    <w:bookmarkEnd w:id="20"/>
    <w:bookmarkStart w:id="21" w:name="i.-executive-summary"/>
    <w:p>
      <w:pPr>
        <w:pStyle w:val="Heading2"/>
      </w:pPr>
      <w:r>
        <w:t xml:space="preserve">I. Executive Summary</w:t>
      </w:r>
    </w:p>
    <w:p>
      <w:pPr>
        <w:pStyle w:val="FirstParagraph"/>
      </w:pPr>
      <w:r>
        <w:t xml:space="preserve">This comprehensive Sales Report analyzes the performance of our General Practitioner (GP) services across the United States Los Angeles market during Q4 2023. The report demonstrates a significant 18.7% year-over-year increase in patient acquisition and a 14.3% revenue growth, exceeding all strategic targets established for the Los Angeles healthcare corridor. These results position our GP practice as one of the fastest-growing primary care providers in Southern California, capitalizing on critical market gaps in accessible family medicine within LA's diverse communities.</w:t>
      </w:r>
    </w:p>
    <w:bookmarkEnd w:id="21"/>
    <w:bookmarkStart w:id="22" w:name="Xe093ebcf6afdce2222bb93229ddff44fb21a75d"/>
    <w:p>
      <w:pPr>
        <w:pStyle w:val="Heading2"/>
      </w:pPr>
      <w:r>
        <w:t xml:space="preserve">Key Performance Indicators (Q4 2023 vs. Q4 2022)</w:t>
      </w:r>
    </w:p>
    <w:p>
      <w:pPr>
        <w:pStyle w:val="FirstParagraph"/>
      </w:pPr>
      <w:r>
        <w:rPr>
          <w:bCs/>
          <w:b/>
        </w:rPr>
        <w:t xml:space="preserve">Patient Volume:</w:t>
      </w:r>
      <w:r>
        <w:t xml:space="preserve"> </w:t>
      </w:r>
      <w:r>
        <w:t xml:space="preserve">1,850 new patients (vs. 1,560 last year) - +18.7% YoY</w:t>
      </w:r>
    </w:p>
    <w:p>
      <w:pPr>
        <w:pStyle w:val="BodyText"/>
      </w:pPr>
      <w:r>
        <w:rPr>
          <w:bCs/>
          <w:b/>
        </w:rPr>
        <w:t xml:space="preserve">Total Revenue:</w:t>
      </w:r>
      <w:r>
        <w:t xml:space="preserve"> </w:t>
      </w:r>
      <w:r>
        <w:t xml:space="preserve">$845,300 (vs. $742,900 last year) - +14.3% YoY</w:t>
      </w:r>
    </w:p>
    <w:p>
      <w:pPr>
        <w:pStyle w:val="BodyText"/>
      </w:pPr>
      <w:r>
        <w:rPr>
          <w:bCs/>
          <w:b/>
        </w:rPr>
        <w:t xml:space="preserve">Patient Retention Rate:</w:t>
      </w:r>
      <w:r>
        <w:t xml:space="preserve"> </w:t>
      </w:r>
      <w:r>
        <w:t xml:space="preserve">86% (vs. 79% last year)</w:t>
      </w:r>
    </w:p>
    <w:p>
      <w:pPr>
        <w:pStyle w:val="BodyText"/>
      </w:pPr>
      <w:r>
        <w:rPr>
          <w:bCs/>
          <w:b/>
        </w:rPr>
        <w:t xml:space="preserve">Online Appointment Bookings:</w:t>
      </w:r>
      <w:r>
        <w:t xml:space="preserve"> </w:t>
      </w:r>
      <w:r>
        <w:t xml:space="preserve">62% of total appointments (vs. 45% in Q3)</w:t>
      </w:r>
    </w:p>
    <w:p>
      <w:pPr>
        <w:pStyle w:val="BodyText"/>
      </w:pPr>
      <w:r>
        <w:rPr>
          <w:bCs/>
          <w:b/>
        </w:rPr>
        <w:t xml:space="preserve">Average Revenue Per Patient Visit:</w:t>
      </w:r>
      <w:r>
        <w:t xml:space="preserve"> </w:t>
      </w:r>
      <w:r>
        <w:t xml:space="preserve">$182</w:t>
      </w:r>
    </w:p>
    <w:bookmarkEnd w:id="22"/>
    <w:bookmarkStart w:id="23" w:name="Xfd06b910255f2865e014b9960db1a41cce8ea5d"/>
    <w:p>
      <w:pPr>
        <w:pStyle w:val="Heading2"/>
      </w:pPr>
      <w:r>
        <w:t xml:space="preserve">II. Los Angeles Market Context: Why Our GP Practice is Thriving</w:t>
      </w:r>
    </w:p>
    <w:p>
      <w:pPr>
        <w:pStyle w:val="FirstParagraph"/>
      </w:pPr>
      <w:r>
        <w:t xml:space="preserve">The United States Los Angeles healthcare landscape presents unique opportunities for General Practitioner services due to its demographic diversity (9.3 million residents across 470 square miles) and significant unmet primary care needs. With over 35% of LA County residents lacking consistent access to primary care physicians, our GP practice has strategically positioned itself as a solution through culturally competent care delivery and extended service hours tailored to working families.</w:t>
      </w:r>
    </w:p>
    <w:p>
      <w:pPr>
        <w:pStyle w:val="BodyText"/>
      </w:pPr>
      <w:r>
        <w:t xml:space="preserve">Key market differentiators driving sales success in Los Angeles include:</w:t>
      </w:r>
    </w:p>
    <w:p>
      <w:pPr>
        <w:numPr>
          <w:ilvl w:val="0"/>
          <w:numId w:val="1001"/>
        </w:numPr>
        <w:pStyle w:val="Compact"/>
      </w:pPr>
      <w:r>
        <w:rPr>
          <w:bCs/>
          <w:b/>
        </w:rPr>
        <w:t xml:space="preserve">Language Accessibility:</w:t>
      </w:r>
      <w:r>
        <w:t xml:space="preserve"> </w:t>
      </w:r>
      <w:r>
        <w:t xml:space="preserve">45% of our patient base receives services in Spanish, Vietnamese, or Korean – directly addressing LA's linguistic diversity</w:t>
      </w:r>
    </w:p>
    <w:p>
      <w:pPr>
        <w:numPr>
          <w:ilvl w:val="0"/>
          <w:numId w:val="1001"/>
        </w:numPr>
        <w:pStyle w:val="Compact"/>
      </w:pPr>
      <w:r>
        <w:rPr>
          <w:bCs/>
          <w:b/>
        </w:rPr>
        <w:t xml:space="preserve">Clinic Locations:</w:t>
      </w:r>
      <w:r>
        <w:t xml:space="preserve"> </w:t>
      </w:r>
      <w:r>
        <w:t xml:space="preserve">Two strategically placed centers (Downtown LA &amp; South Gate) within 5 miles of major public transit hubs</w:t>
      </w:r>
    </w:p>
    <w:p>
      <w:pPr>
        <w:numPr>
          <w:ilvl w:val="0"/>
          <w:numId w:val="1001"/>
        </w:numPr>
        <w:pStyle w:val="Compact"/>
      </w:pPr>
      <w:r>
        <w:rPr>
          <w:bCs/>
          <w:b/>
        </w:rPr>
        <w:t xml:space="preserve">Insurance Partnerships:</w:t>
      </w:r>
      <w:r>
        <w:t xml:space="preserve"> </w:t>
      </w:r>
      <w:r>
        <w:t xml:space="preserve">Active participation in Cal MediConnect and LA County Medicaid programs, serving 68% of our patient base</w:t>
      </w:r>
    </w:p>
    <w:bookmarkEnd w:id="23"/>
    <w:bookmarkStart w:id="24" w:name="X146656efa620191ea5f16aba00a22c49b69f93a"/>
    <w:p>
      <w:pPr>
        <w:pStyle w:val="Heading2"/>
      </w:pPr>
      <w:r>
        <w:t xml:space="preserve">III. Sales Performance Breakdown: Q4 2023 Results</w:t>
      </w:r>
    </w:p>
    <w:p>
      <w:pPr>
        <w:pStyle w:val="FirstParagraph"/>
      </w:pPr>
      <w:r>
        <w:rPr>
          <w:bCs/>
          <w:b/>
        </w:rPr>
        <w:t xml:space="preserve">Patient Acquisition Channels:</w:t>
      </w:r>
      <w:r>
        <w:t xml:space="preserve"> </w:t>
      </w:r>
      <w:r>
        <w:t xml:space="preserve">Digital marketing initiatives yielded the highest conversion rate (47% of new patients), with Google Ads targeting "general practitioner near me Los Angeles" generating 38% of all new patient leads. Community health fairs in Boyle Heights and Compton contributed 22% of new patients, while physician referrals accounted for 19%. This diversified acquisition strategy has reduced our dependency on any single channel by 34% compared to Q3.</w:t>
      </w:r>
    </w:p>
    <w:p>
      <w:pPr>
        <w:pStyle w:val="BodyText"/>
      </w:pPr>
      <w:r>
        <w:rPr>
          <w:bCs/>
          <w:b/>
        </w:rPr>
        <w:t xml:space="preserve">Revenue Stream Analysis:</w:t>
      </w:r>
      <w:r>
        <w:t xml:space="preserve"> </w:t>
      </w:r>
      <w:r>
        <w:t xml:space="preserve">Our most successful service offerings in the Los Angeles market include:</w:t>
      </w:r>
    </w:p>
    <w:p>
      <w:pPr>
        <w:numPr>
          <w:ilvl w:val="0"/>
          <w:numId w:val="1002"/>
        </w:numPr>
        <w:pStyle w:val="Compact"/>
      </w:pPr>
      <w:r>
        <w:t xml:space="preserve">Comprehensive Annual Wellness Visits: $215,000 revenue (+22.1% YoY)</w:t>
      </w:r>
    </w:p>
    <w:p>
      <w:pPr>
        <w:numPr>
          <w:ilvl w:val="0"/>
          <w:numId w:val="1002"/>
        </w:numPr>
        <w:pStyle w:val="Compact"/>
      </w:pPr>
      <w:r>
        <w:t xml:space="preserve">Chronic Disease Management (Diabetes/Hypertension): $198,700 revenue (+31.4% YoY)</w:t>
      </w:r>
    </w:p>
    <w:p>
      <w:pPr>
        <w:numPr>
          <w:ilvl w:val="0"/>
          <w:numId w:val="1002"/>
        </w:numPr>
        <w:pStyle w:val="Compact"/>
      </w:pPr>
      <w:r>
        <w:t xml:space="preserve">Telehealth Consultations: $96,500 revenue (+57.3% YoY - driven by LA's high internet penetration rate)</w:t>
      </w:r>
    </w:p>
    <w:p>
      <w:pPr>
        <w:numPr>
          <w:ilvl w:val="0"/>
          <w:numId w:val="1002"/>
        </w:numPr>
        <w:pStyle w:val="Compact"/>
      </w:pPr>
      <w:r>
        <w:t xml:space="preserve">Vaccination Services: $42,800 revenue (including flu shots and childhood immunizations)</w:t>
      </w:r>
    </w:p>
    <w:bookmarkEnd w:id="24"/>
    <w:bookmarkStart w:id="25" w:name="X7a0fb2d979b95cf61e613705a2cad1f878a5ab2"/>
    <w:p>
      <w:pPr>
        <w:pStyle w:val="Heading2"/>
      </w:pPr>
      <w:r>
        <w:t xml:space="preserve">IV. Competitive Advantage: The Los Angeles GP Differentiation</w:t>
      </w:r>
    </w:p>
    <w:p>
      <w:pPr>
        <w:pStyle w:val="FirstParagraph"/>
      </w:pPr>
      <w:r>
        <w:t xml:space="preserve">In the highly competitive United States healthcare market, our General Practitioner services stand out through three strategic pillars specific to Los Angeles:</w:t>
      </w:r>
    </w:p>
    <w:p>
      <w:pPr>
        <w:pStyle w:val="BodyText"/>
      </w:pPr>
      <w:r>
        <w:rPr>
          <w:bCs/>
          <w:b/>
        </w:rPr>
        <w:t xml:space="preserve">1. Hyper-Local Community Integration:</w:t>
      </w:r>
      <w:r>
        <w:t xml:space="preserve"> </w:t>
      </w:r>
      <w:r>
        <w:t xml:space="preserve">Partnering with LA Unified School District for student health screenings and collaborating with Koreatown community centers on wellness programs has built trust in underserved neighborhoods where traditional medical practices are scarce.</w:t>
      </w:r>
    </w:p>
    <w:p>
      <w:pPr>
        <w:pStyle w:val="BodyText"/>
      </w:pPr>
      <w:r>
        <w:rPr>
          <w:bCs/>
          <w:b/>
        </w:rPr>
        <w:t xml:space="preserve">2. Technology Adoption Tailored to LA Demographics:</w:t>
      </w:r>
      <w:r>
        <w:t xml:space="preserve"> </w:t>
      </w:r>
      <w:r>
        <w:t xml:space="preserve">Our mobile patient portal features Spanish-language navigation and integrates with Los Angeles County's MyHealthLA platform, eliminating access barriers for immigrant populations. This resulted in a 40% increase in patient portal usage among our diverse demographic base.</w:t>
      </w:r>
    </w:p>
    <w:p>
      <w:pPr>
        <w:pStyle w:val="BodyText"/>
      </w:pPr>
      <w:r>
        <w:rPr>
          <w:bCs/>
          <w:b/>
        </w:rPr>
        <w:t xml:space="preserve">3. Flexible Scheduling Model:</w:t>
      </w:r>
      <w:r>
        <w:t xml:space="preserve"> </w:t>
      </w:r>
      <w:r>
        <w:t xml:space="preserve">Offering weekend hours (8 AM-6 PM Saturdays) and evening appointments until 9 PM on weekdays directly responds to LA's working population needs, driving a 27% increase in same-day appointment utilization compared to industry averages.</w:t>
      </w:r>
    </w:p>
    <w:bookmarkEnd w:id="25"/>
    <w:bookmarkStart w:id="26" w:name="v.-challenges-and-strategic-response"/>
    <w:p>
      <w:pPr>
        <w:pStyle w:val="Heading2"/>
      </w:pPr>
      <w:r>
        <w:t xml:space="preserve">V. Challenges and Strategic Response</w:t>
      </w:r>
    </w:p>
    <w:p>
      <w:pPr>
        <w:pStyle w:val="FirstParagraph"/>
      </w:pPr>
      <w:r>
        <w:t xml:space="preserve">Despite strong performance, we identified two significant challenges unique to the Los Angeles healthcare environment:</w:t>
      </w:r>
    </w:p>
    <w:p>
      <w:pPr>
        <w:pStyle w:val="BodyText"/>
      </w:pPr>
      <w:r>
        <w:rPr>
          <w:bCs/>
          <w:b/>
        </w:rPr>
        <w:t xml:space="preserve">Challenge 1: Insurance Reimbursement Rate Disparities</w:t>
      </w:r>
      <w:r>
        <w:br/>
      </w:r>
      <w:r>
        <w:t xml:space="preserve">Many LA County Medicaid plans offer reimbursement rates 18-22% below Medicare averages. Our strategic response was developing a targeted "Value-Based Care" package for high-risk patients that maintains profitability through reduced hospital readmissions, generating $63,000 in additional revenue during Q4.</w:t>
      </w:r>
    </w:p>
    <w:p>
      <w:pPr>
        <w:pStyle w:val="BodyText"/>
      </w:pPr>
      <w:r>
        <w:rPr>
          <w:bCs/>
          <w:b/>
        </w:rPr>
        <w:t xml:space="preserve">Challenge 2: Workforce Shortages in South LA</w:t>
      </w:r>
      <w:r>
        <w:br/>
      </w:r>
      <w:r>
        <w:t xml:space="preserve">Recruiting bilingual providers remains difficult across Los Angeles County. We implemented a "Pipeline Program" partnering with USC's School of Medicine and local community colleges, resulting in four new physicians joining our practice – the highest recruitment rate in our five-year history.</w:t>
      </w:r>
    </w:p>
    <w:bookmarkEnd w:id="26"/>
    <w:bookmarkStart w:id="27" w:name="X73fe910a6f216a1b4c7a396c50f65ce88488620"/>
    <w:p>
      <w:pPr>
        <w:pStyle w:val="Heading2"/>
      </w:pPr>
      <w:r>
        <w:t xml:space="preserve">VI. Strategic Recommendations for Q1 2024</w:t>
      </w:r>
    </w:p>
    <w:p>
      <w:pPr>
        <w:pStyle w:val="FirstParagraph"/>
      </w:pPr>
      <w:r>
        <w:rPr>
          <w:bCs/>
          <w:b/>
        </w:rPr>
        <w:t xml:space="preserve">Priority 1:</w:t>
      </w:r>
      <w:r>
        <w:t xml:space="preserve"> </w:t>
      </w:r>
      <w:r>
        <w:t xml:space="preserve">Expand telehealth services to include mental health screenings (addressing LA's critical behavioral health gap) with a dedicated $50,000 marketing budget targeting Los Angeles residents via social media and local radio stations.</w:t>
      </w:r>
    </w:p>
    <w:p>
      <w:pPr>
        <w:pStyle w:val="BodyText"/>
      </w:pPr>
      <w:r>
        <w:rPr>
          <w:bCs/>
          <w:b/>
        </w:rPr>
        <w:t xml:space="preserve">Priority 2:</w:t>
      </w:r>
      <w:r>
        <w:t xml:space="preserve"> </w:t>
      </w:r>
      <w:r>
        <w:t xml:space="preserve">Launch "LA Health Pass" initiative – a low-cost ($49 annually) wellness program offering free preventive screenings to qualifying low-income LA families through partnerships with city social services departments.</w:t>
      </w:r>
    </w:p>
    <w:p>
      <w:pPr>
        <w:pStyle w:val="BodyText"/>
      </w:pPr>
      <w:r>
        <w:rPr>
          <w:bCs/>
          <w:b/>
        </w:rPr>
        <w:t xml:space="preserve">Priority 3:</w:t>
      </w:r>
      <w:r>
        <w:t xml:space="preserve"> </w:t>
      </w:r>
      <w:r>
        <w:t xml:space="preserve">Develop a referral network with LA's top urgent care centers (including City of Hope and Kaiser Permanente facilities) to capture patients transitioning from emergency care – projected $120,000 new revenue stream in first year.</w:t>
      </w:r>
    </w:p>
    <w:bookmarkEnd w:id="27"/>
    <w:bookmarkStart w:id="28" w:name="X1c095b82972484f622e0e245e68bbd935628ee3"/>
    <w:p>
      <w:pPr>
        <w:pStyle w:val="Heading2"/>
      </w:pPr>
      <w:r>
        <w:t xml:space="preserve">VII. Conclusion: Positioning for Sustainable Growth</w:t>
      </w:r>
    </w:p>
    <w:p>
      <w:pPr>
        <w:pStyle w:val="FirstParagraph"/>
      </w:pPr>
      <w:r>
        <w:t xml:space="preserve">This Sales Report confirms that our General Practitioner practice has become a vital healthcare access point within the United States Los Angeles ecosystem. The 18.7% patient growth and 14.3% revenue increase are not merely operational successes – they represent meaningful community impact in a city where primary care access remains a critical public health challenge.</w:t>
      </w:r>
    </w:p>
    <w:p>
      <w:pPr>
        <w:pStyle w:val="BodyText"/>
      </w:pPr>
      <w:r>
        <w:t xml:space="preserve">As we enter 2024, our focus shifts toward sustainable growth through strategic partnerships with Los Angeles government initiatives like the Healthy LA program and continued investment in culturally competent care models. Our data-driven approach to serving LA's diverse population has proven that patient-centered General Practitioner services can achieve both social impact and financial viability in one of America's most complex healthcare markets.</w:t>
      </w:r>
    </w:p>
    <w:p>
      <w:pPr>
        <w:pStyle w:val="BodyText"/>
      </w:pPr>
      <w:r>
        <w:t xml:space="preserve">With an estimated 750,000 additional primary care visits needed across Los Angeles County annually (per UCLA Health System data), our practice is uniquely positioned to grow responsibly while maintaining the high-quality care standards that define our success in this critical market.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General Practitioner Services in Los Angeles</dc:title>
  <dc:creator/>
  <dc:language>en</dc:language>
  <cp:keywords/>
  <dcterms:created xsi:type="dcterms:W3CDTF">2026-07-24T14:22:31Z</dcterms:created>
  <dcterms:modified xsi:type="dcterms:W3CDTF">2026-07-24T14:22:31Z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