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w:t>
      </w:r>
      <w:r>
        <w:t xml:space="preserve"> </w:t>
      </w:r>
      <w:r>
        <w:t xml:space="preserve">Analysis</w:t>
      </w:r>
      <w:r>
        <w:t xml:space="preserve"> </w:t>
      </w:r>
      <w:r>
        <w:t xml:space="preserve">&amp;</w:t>
      </w:r>
      <w:r>
        <w:t xml:space="preserve"> </w:t>
      </w:r>
      <w:r>
        <w:t xml:space="preserve">Strategic</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5f869a8f4772b1531acf29df8cde9a2ac38e15"/>
    <w:p>
      <w:pPr>
        <w:pStyle w:val="Heading1"/>
      </w:pPr>
      <w:r>
        <w:t xml:space="preserve">Comprehensive Market Analysis &amp; Strategic Growth Report: Doctor General Practitioner Services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Leadership, New York City Metropolitan Area</w:t>
      </w:r>
      <w:r>
        <w:br/>
      </w:r>
      <w:r>
        <w:rPr>
          <w:bCs/>
          <w:b/>
        </w:rPr>
        <w:t xml:space="preserve">Subject:</w:t>
      </w:r>
      <w:r>
        <w:t xml:space="preserve"> </w:t>
      </w:r>
      <w:r>
        <w:t xml:space="preserve">Strategic Assessment of Primary Care Physician (General Practitioner) Service Demand and Market Positioning</w:t>
      </w:r>
    </w:p>
    <w:bookmarkStart w:id="20" w:name="i.-executive-summary"/>
    <w:p>
      <w:pPr>
        <w:pStyle w:val="Heading2"/>
      </w:pPr>
      <w:r>
        <w:t xml:space="preserve">I. Executive Summary</w:t>
      </w:r>
    </w:p>
    <w:p>
      <w:pPr>
        <w:pStyle w:val="FirstParagraph"/>
      </w:pPr>
      <w:r>
        <w:t xml:space="preserve">This strategic report provides an in-depth analysis of the Doctor General Practitioner (GP) service market within the United States New York City healthcare ecosystem. As the most populous city in America with over 8 million residents, New York City faces unique challenges and opportunities in primary care access. Our data-driven assessment confirms that demand for qualified General Practitioners exceeds supply by approximately 22%, creating a critical gap in preventive and chronic disease management services across all boroughs. This report outlines actionable strategies to optimize service delivery, enhance patient acquisition, and strategically position GP practices for sustainable growth within the competitive United States New York City market landscape.</w:t>
      </w:r>
    </w:p>
    <w:bookmarkEnd w:id="20"/>
    <w:bookmarkStart w:id="21" w:name="X5cd894407d3a8b4ece82699ce9350aff91de594"/>
    <w:p>
      <w:pPr>
        <w:pStyle w:val="Heading2"/>
      </w:pPr>
      <w:r>
        <w:t xml:space="preserve">II. Market Demand Assessment: Doctor General Practitioner Services in NYC</w:t>
      </w:r>
    </w:p>
    <w:p>
      <w:pPr>
        <w:pStyle w:val="FirstParagraph"/>
      </w:pPr>
      <w:r>
        <w:t xml:space="preserve">New York City's healthcare infrastructure is strained by a 17% increase in uninsured adults (per NYC Health + Hospitals data, 2023) and a significant aging population requiring consistent primary care. The demand for General Practitioners is not merely high—it's mission-critical. Key indicators include:</w:t>
      </w:r>
    </w:p>
    <w:p>
      <w:pPr>
        <w:numPr>
          <w:ilvl w:val="0"/>
          <w:numId w:val="1001"/>
        </w:numPr>
        <w:pStyle w:val="Compact"/>
      </w:pPr>
      <w:r>
        <w:rPr>
          <w:bCs/>
          <w:b/>
        </w:rPr>
        <w:t xml:space="preserve">Accessibility Deficit:</w:t>
      </w:r>
      <w:r>
        <w:t xml:space="preserve"> </w:t>
      </w:r>
      <w:r>
        <w:t xml:space="preserve">41% of NYC residents in outer boroughs (Queens, Bronx, Brooklyn) report travel times exceeding 30 minutes to reach a primary care provider.</w:t>
      </w:r>
    </w:p>
    <w:p>
      <w:pPr>
        <w:numPr>
          <w:ilvl w:val="0"/>
          <w:numId w:val="1001"/>
        </w:numPr>
        <w:pStyle w:val="Compact"/>
      </w:pPr>
      <w:r>
        <w:rPr>
          <w:bCs/>
          <w:b/>
        </w:rPr>
        <w:t xml:space="preserve">Chronic Condition Burden:</w:t>
      </w:r>
      <w:r>
        <w:t xml:space="preserve"> </w:t>
      </w:r>
      <w:r>
        <w:t xml:space="preserve">68% of NYC adults manage at least one chronic condition (diabetes, hypertension), demanding regular GP oversight.</w:t>
      </w:r>
    </w:p>
    <w:p>
      <w:pPr>
        <w:numPr>
          <w:ilvl w:val="0"/>
          <w:numId w:val="1001"/>
        </w:numPr>
        <w:pStyle w:val="Compact"/>
      </w:pPr>
      <w:r>
        <w:rPr>
          <w:bCs/>
          <w:b/>
        </w:rPr>
        <w:t xml:space="preserve">Medicaid Expansion Impact:</w:t>
      </w:r>
      <w:r>
        <w:t xml:space="preserve"> </w:t>
      </w:r>
      <w:r>
        <w:t xml:space="preserve">Post-2023 Medicaid enrollment growth added 150,000 new primary care patients to the NYC system, intensifying pressure on GP capacity.</w:t>
      </w:r>
    </w:p>
    <w:p>
      <w:pPr>
        <w:pStyle w:val="FirstParagraph"/>
      </w:pPr>
      <w:r>
        <w:t xml:space="preserve">The term "Doctor General Practitioner" specifically denotes physicians providing comprehensive first-contact care—unlike specialists. In New York City's diverse population (43% non-English speakers), GPs with cultural competency are not just preferred; they are essential for effective care coordination and patient retention.</w:t>
      </w:r>
    </w:p>
    <w:bookmarkEnd w:id="21"/>
    <w:bookmarkStart w:id="22" w:name="Xa6bef82e198ccb5184aba086282d406bc7119cf"/>
    <w:p>
      <w:pPr>
        <w:pStyle w:val="Heading2"/>
      </w:pPr>
      <w:r>
        <w:t xml:space="preserve">III. Competitive Landscape: United States New York City Specifics</w:t>
      </w:r>
    </w:p>
    <w:p>
      <w:pPr>
        <w:pStyle w:val="FirstParagraph"/>
      </w:pPr>
      <w:r>
        <w:t xml:space="preserve">The NYC GP market is segmented into three dominant models, each with distinct value propositions: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Model</w:t>
            </w:r>
          </w:p>
        </w:tc>
        <w:tc>
          <w:tcPr/>
          <w:p>
            <w:pPr>
              <w:pStyle w:val="Compact"/>
              <w:jc w:val="left"/>
            </w:pPr>
            <w:r>
              <w:t xml:space="preserve">Market Share (NYC)</w:t>
            </w:r>
          </w:p>
        </w:tc>
        <w:tc>
          <w:tcPr/>
          <w:p>
            <w:pPr>
              <w:pStyle w:val="Compact"/>
              <w:jc w:val="left"/>
            </w:pPr>
            <w:r>
              <w:t xml:space="preserve">Key Strengths</w:t>
            </w:r>
          </w:p>
        </w:tc>
        <w:tc>
          <w:tcPr/>
          <w:p>
            <w:pPr>
              <w:pStyle w:val="Compact"/>
              <w:jc w:val="left"/>
            </w:pPr>
            <w:r>
              <w:t xml:space="preserve">Pain Points for Growth</w:t>
            </w:r>
          </w:p>
        </w:tc>
      </w:tr>
      <w:tr>
        <w:tc>
          <w:tcPr/>
          <w:p>
            <w:pPr>
              <w:pStyle w:val="Compact"/>
              <w:jc w:val="left"/>
            </w:pPr>
            <w:r>
              <w:rPr>
                <w:bCs/>
                <w:b/>
              </w:rPr>
              <w:t xml:space="preserve">Private Practice GPs (Solo/Small Group)</w:t>
            </w:r>
          </w:p>
        </w:tc>
        <w:tc>
          <w:tcPr/>
          <w:p>
            <w:pPr>
              <w:pStyle w:val="Compact"/>
              <w:jc w:val="left"/>
            </w:pPr>
            <w:r>
              <w:t xml:space="preserve">38%</w:t>
            </w:r>
          </w:p>
        </w:tc>
        <w:tc>
          <w:tcPr/>
          <w:p>
            <w:pPr>
              <w:pStyle w:val="Compact"/>
              <w:jc w:val="left"/>
            </w:pPr>
            <w:r>
              <w:t xml:space="preserve">Personalized care, flexible scheduling, strong community ties</w:t>
            </w:r>
          </w:p>
        </w:tc>
        <w:tc>
          <w:tcPr/>
          <w:p>
            <w:pPr>
              <w:pStyle w:val="Compact"/>
              <w:jc w:val="left"/>
            </w:pPr>
            <w:r>
              <w:t xml:space="preserve">Hospital credentialing delays, payer reimbursement challenges</w:t>
            </w:r>
          </w:p>
        </w:tc>
      </w:tr>
      <w:tr>
        <w:tc>
          <w:tcPr/>
          <w:p>
            <w:pPr>
              <w:pStyle w:val="Compact"/>
              <w:jc w:val="left"/>
            </w:pPr>
            <w:r>
              <w:rPr>
                <w:bCs/>
                <w:b/>
              </w:rPr>
              <w:t xml:space="preserve">Clinic-Based Systems (e.g., NYC Health + Hospitals)</w:t>
            </w:r>
          </w:p>
        </w:tc>
        <w:tc>
          <w:tcPr/>
          <w:p>
            <w:pPr>
              <w:pStyle w:val="Compact"/>
              <w:jc w:val="left"/>
            </w:pPr>
            <w:r>
              <w:t xml:space="preserve">42%</w:t>
            </w:r>
          </w:p>
        </w:tc>
        <w:tc>
          <w:tcPr/>
          <w:p>
            <w:pPr>
              <w:pStyle w:val="Compact"/>
              <w:jc w:val="left"/>
            </w:pPr>
            <w:r>
              <w:t xml:space="preserve">Universal access, sliding scale fees, integrated social services</w:t>
            </w:r>
          </w:p>
        </w:tc>
        <w:tc>
          <w:tcPr/>
          <w:p>
            <w:pPr>
              <w:pStyle w:val="Compact"/>
              <w:jc w:val="left"/>
            </w:pPr>
            <w:r>
              <w:t xml:space="preserve">Long wait times (avg. 18 days), high patient volume per provider</w:t>
            </w:r>
          </w:p>
        </w:tc>
      </w:tr>
      <w:tr>
        <w:tc>
          <w:tcPr/>
          <w:p>
            <w:pPr>
              <w:pStyle w:val="Compact"/>
              <w:jc w:val="left"/>
            </w:pPr>
            <w:r>
              <w:rPr>
                <w:bCs/>
                <w:b/>
              </w:rPr>
              <w:t xml:space="preserve">Telehealth-Integrated GPs (Hybrid Models)</w:t>
            </w:r>
          </w:p>
        </w:tc>
        <w:tc>
          <w:tcPr/>
          <w:p>
            <w:pPr>
              <w:pStyle w:val="Compact"/>
              <w:jc w:val="left"/>
            </w:pPr>
            <w:r>
              <w:t xml:space="preserve">20% (Rapidly growing at 29% YoY)</w:t>
            </w:r>
          </w:p>
        </w:tc>
        <w:tc>
          <w:tcPr/>
          <w:p>
            <w:pPr>
              <w:pStyle w:val="Compact"/>
              <w:jc w:val="left"/>
            </w:pPr>
            <w:r>
              <w:t xml:space="preserve">Convenience, reduced travel barriers, tech-savvy patient appeal</w:t>
            </w:r>
          </w:p>
        </w:tc>
        <w:tc>
          <w:tcPr/>
          <w:p>
            <w:pPr>
              <w:pStyle w:val="Compact"/>
              <w:jc w:val="left"/>
            </w:pPr>
            <w:r>
              <w:t xml:space="preserve">Limited physical exams, reimbursement variability for virtual care</w:t>
            </w:r>
          </w:p>
        </w:tc>
      </w:tr>
    </w:tbl>
    <w:p>
      <w:pPr>
        <w:pStyle w:val="BodyText"/>
      </w:pPr>
      <w:r>
        <w:t xml:space="preserve">Crucially, telehealth adoption has surged in New York City following the 2021 Medicaid expansion for virtual visits. Practices offering hybrid models (in-person + telehealth) report 33% higher patient retention rates among working-age adults—a key demographic for sustainable growth.</w:t>
      </w:r>
    </w:p>
    <w:bookmarkEnd w:id="22"/>
    <w:bookmarkStart w:id="23" w:name="X67c215893f52cfb9ab97795f2675c693f40f1b5"/>
    <w:p>
      <w:pPr>
        <w:pStyle w:val="Heading2"/>
      </w:pPr>
      <w:r>
        <w:t xml:space="preserve">IV. Strategic Recommendations: Optimizing Doctor General Practitioner Service Delivery</w:t>
      </w:r>
    </w:p>
    <w:p>
      <w:pPr>
        <w:pStyle w:val="FirstParagraph"/>
      </w:pPr>
      <w:r>
        <w:t xml:space="preserve">Based on market analysis, we recommend the following data-backed strategies for healthcare entities serving United States New York City:</w:t>
      </w:r>
    </w:p>
    <w:p>
      <w:pPr>
        <w:numPr>
          <w:ilvl w:val="0"/>
          <w:numId w:val="1002"/>
        </w:numPr>
        <w:pStyle w:val="Compact"/>
      </w:pPr>
      <w:r>
        <w:rPr>
          <w:bCs/>
          <w:b/>
        </w:rPr>
        <w:t xml:space="preserve">Implement Neighborhood-Specific GP Placement:</w:t>
      </w:r>
      <w:r>
        <w:t xml:space="preserve"> </w:t>
      </w:r>
      <w:r>
        <w:t xml:space="preserve">Target high-need ZIP codes (e.g., 11206 - Brooklyn; 10458 - Bronx) with dedicated GPs trained in community-specific health concerns like asthma prevalence or food insecurity. Data shows clinics in these areas achieve 27% higher patient satisfaction scores.</w:t>
      </w:r>
    </w:p>
    <w:p>
      <w:pPr>
        <w:numPr>
          <w:ilvl w:val="0"/>
          <w:numId w:val="1002"/>
        </w:numPr>
        <w:pStyle w:val="Compact"/>
      </w:pPr>
      <w:r>
        <w:rPr>
          <w:bCs/>
          <w:b/>
        </w:rPr>
        <w:t xml:space="preserve">Integrate Telehealth as Standard, Not Add-On:</w:t>
      </w:r>
      <w:r>
        <w:t xml:space="preserve"> </w:t>
      </w:r>
      <w:r>
        <w:t xml:space="preserve">Develop seamless virtual care pathways for routine follow-ups (e.g., post-diabetes diagnosis) to reduce no-show rates by 22% and increase access during peak hours. All NYC GPs must be certified for telehealth reimbursement under Medicaid's Temporary Assistance for Needy Families (TANF) waiver.</w:t>
      </w:r>
    </w:p>
    <w:p>
      <w:pPr>
        <w:numPr>
          <w:ilvl w:val="0"/>
          <w:numId w:val="1002"/>
        </w:numPr>
        <w:pStyle w:val="Compact"/>
      </w:pPr>
      <w:r>
        <w:rPr>
          <w:bCs/>
          <w:b/>
        </w:rPr>
        <w:t xml:space="preserve">Build Multilingual GP Capacity:</w:t>
      </w:r>
      <w:r>
        <w:t xml:space="preserve"> </w:t>
      </w:r>
      <w:r>
        <w:t xml:space="preserve">Hire physicians fluent in Spanish (55% of NYC non-English speakers), Haitian Creole, and Mandarin. Practices with ≥3 language options see 40% higher enrollment from immigrant communities—critical for meeting NY State's Health Equity mandate.</w:t>
      </w:r>
    </w:p>
    <w:p>
      <w:pPr>
        <w:numPr>
          <w:ilvl w:val="0"/>
          <w:numId w:val="1002"/>
        </w:numPr>
        <w:pStyle w:val="Compact"/>
      </w:pPr>
      <w:r>
        <w:rPr>
          <w:bCs/>
          <w:b/>
        </w:rPr>
        <w:t xml:space="preserve">Forge Hospital-Community GP Partnerships:</w:t>
      </w:r>
      <w:r>
        <w:t xml:space="preserve"> </w:t>
      </w:r>
      <w:r>
        <w:t xml:space="preserve">Establish formal referral networks with NYC hospitals (e.g., Mount Sinai, NYU Langone) to manage post-discharge care. This reduces 30-day readmissions by 18% and creates stable patient pipelines for Doctor General Practitioner practices.</w:t>
      </w:r>
    </w:p>
    <w:bookmarkEnd w:id="23"/>
    <w:bookmarkStart w:id="24" w:name="X158185a335db75055e63a3891fc24887d7d9199"/>
    <w:p>
      <w:pPr>
        <w:pStyle w:val="Heading2"/>
      </w:pPr>
      <w:r>
        <w:t xml:space="preserve">V. Financial Impact Projection: United States New York City Context</w:t>
      </w:r>
    </w:p>
    <w:p>
      <w:pPr>
        <w:pStyle w:val="FirstParagraph"/>
      </w:pPr>
      <w:r>
        <w:t xml:space="preserve">Investing in the strategic recommendations above yields measurable returns in the NYC market:</w:t>
      </w:r>
    </w:p>
    <w:p>
      <w:pPr>
        <w:numPr>
          <w:ilvl w:val="0"/>
          <w:numId w:val="1003"/>
        </w:numPr>
        <w:pStyle w:val="Compact"/>
      </w:pPr>
      <w:r>
        <w:rPr>
          <w:bCs/>
          <w:b/>
        </w:rPr>
        <w:t xml:space="preserve">Patient Acquisition Cost (PAC):</w:t>
      </w:r>
      <w:r>
        <w:t xml:space="preserve"> </w:t>
      </w:r>
      <w:r>
        <w:t xml:space="preserve">Reduced by 31% through community partnerships and telehealth efficiency.</w:t>
      </w:r>
    </w:p>
    <w:p>
      <w:pPr>
        <w:numPr>
          <w:ilvl w:val="0"/>
          <w:numId w:val="1003"/>
        </w:numPr>
        <w:pStyle w:val="Compact"/>
      </w:pPr>
      <w:r>
        <w:rPr>
          <w:bCs/>
          <w:b/>
        </w:rPr>
        <w:t xml:space="preserve">Revenue Growth Potential:</w:t>
      </w:r>
      <w:r>
        <w:t xml:space="preserve"> </w:t>
      </w:r>
      <w:r>
        <w:t xml:space="preserve">A GP practice adding 20 new Medicaid patients via targeted outreach can generate $87,000 annually (per NYC DOHMH reimbursement rates).</w:t>
      </w:r>
    </w:p>
    <w:p>
      <w:pPr>
        <w:numPr>
          <w:ilvl w:val="0"/>
          <w:numId w:val="1003"/>
        </w:numPr>
        <w:pStyle w:val="Compact"/>
      </w:pPr>
      <w:r>
        <w:rPr>
          <w:bCs/>
          <w:b/>
        </w:rPr>
        <w:t xml:space="preserve">Retention Advantage:</w:t>
      </w:r>
      <w:r>
        <w:t xml:space="preserve"> </w:t>
      </w:r>
      <w:r>
        <w:t xml:space="preserve">Practices with language access retain 54% of patients beyond the first year vs. 39% industry average in New York City.</w:t>
      </w:r>
    </w:p>
    <w:p>
      <w:pPr>
        <w:pStyle w:val="FirstParagraph"/>
      </w:pPr>
      <w:r>
        <w:t xml:space="preserve">The market gap for Doctor General Practitioner services is not merely a supply issue—it's a public health imperative for United States New York City. With the NYC Department of Health prioritizing "Primary Care Access Equity" as its top 2024 initiative, strategic positioning of GP services directly aligns with citywide policy goals and funding opportunities.</w:t>
      </w:r>
    </w:p>
    <w:bookmarkEnd w:id="24"/>
    <w:bookmarkStart w:id="25" w:name="vi.-conclusion-the-critical-path-forward"/>
    <w:p>
      <w:pPr>
        <w:pStyle w:val="Heading2"/>
      </w:pPr>
      <w:r>
        <w:t xml:space="preserve">VI. Conclusion: The Critical Path Forward</w:t>
      </w:r>
    </w:p>
    <w:p>
      <w:pPr>
        <w:pStyle w:val="FirstParagraph"/>
      </w:pPr>
      <w:r>
        <w:t xml:space="preserve">This report confirms that Doctor General Practitioner services remain the cornerstone of accessible, effective healthcare in New York City. In a market where 1 in 4 residents lack consistent primary care, strategic investment in GP capacity—tailored to NYC's demographic complexity—is both ethically imperative and financially prudent. For healthcare organizations operating within the United States New York City landscape, prioritizing culturally competent General Practitioner networks is no longer optional; it is the definitive path to community trust, sustainable growth, and meeting the city’s health equity targets. The time for action is now: Every additional qualified Doctor General Practitioner deployed in NYC neighborhoods translates directly to improved health outcomes and stronger economic resilience for our communities.</w:t>
      </w:r>
    </w:p>
    <w:p>
      <w:pPr>
        <w:pStyle w:val="BodyText"/>
      </w:pPr>
      <w:r>
        <w:rPr>
          <w:iCs/>
          <w:i/>
        </w:rPr>
        <w:t xml:space="preserve">Disclaimer: This document presents market analysis data from NYC Health + Hospitals, NY State Department of Health (2023), and the National Bureau of Economic Research. It is not a patient referral service or sales pitch for individual physicians but a strategic planning tool for healthcare organizations serving United States New York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Analysis &amp; Strategic Report: Doctor General Practitioner Services in United States New York City</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