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Practice</w:t>
      </w:r>
      <w:r>
        <w:t xml:space="preserve"> </w:t>
      </w:r>
      <w:r>
        <w:t xml:space="preserve">Performance</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ANNUAL SALES REPORT: GENERAL PRACTITIONER PRACTICE PERFORMANCE</w:t>
      </w:r>
      <w:r>
        <w:br/>
      </w:r>
      <w:r>
        <w:t xml:space="preserve">UNITED STATES SAN FRANCISCO MARKET ANALYSIS</w:t>
      </w:r>
    </w:p>
    <w:p>
      <w:pPr>
        <w:pStyle w:val="BodyText"/>
      </w:pPr>
      <w:r>
        <w:rPr>
          <w:bCs/>
          <w:b/>
        </w:rPr>
        <w:t xml:space="preserve">Prepared For:</w:t>
      </w:r>
      <w:r>
        <w:t xml:space="preserve"> </w:t>
      </w:r>
      <w:r>
        <w:t xml:space="preserve">San Francisco Healthcare Management Group</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January 1, 2023 - December 31, 2023</w:t>
      </w:r>
    </w:p>
    <w:p>
      <w:pPr>
        <w:pStyle w:val="BodyText"/>
      </w:pPr>
      <w:r>
        <w:rPr>
          <w:iCs/>
          <w:i/>
        </w:rPr>
        <w:t xml:space="preserve">This comprehensive Sales Report details performance metrics for General Practitioner services across the United States San Francisco metropolitan area, with specific focus on patient acquisition, revenue streams, and strategic growth opportunities for Doctor General Practitioner practices.</w:t>
      </w:r>
    </w:p>
    <w:bookmarkStart w:id="21" w:name="executive-summary"/>
    <w:p>
      <w:pPr>
        <w:pStyle w:val="Heading2"/>
      </w:pPr>
      <w:r>
        <w:t xml:space="preserve">EXECUTIVE SUMMARY</w:t>
      </w:r>
    </w:p>
    <w:p>
      <w:pPr>
        <w:pStyle w:val="FirstParagraph"/>
      </w:pPr>
      <w:r>
        <w:t xml:space="preserve">The United States San Francisco market for Doctor General Practitioner services demonstrated robust performance in 2023, with a 17.3% year-over-year increase in patient volume and $4.8M in total revenue generated across 15 primary care practices. This Sales Report confirms that the Doctor General Practitioner model remains highly viable within San Francisco's competitive healthcare landscape, particularly as telehealth integration and community health initiatives drive patient retention. Notably, practices with comprehensive care bundles for chronic disease management showed 32% higher patient lifetime value compared to standard visit-based models.</w:t>
      </w:r>
    </w:p>
    <w:bookmarkStart w:id="20" w:name="key-performance-indicators-2023"/>
    <w:p>
      <w:pPr>
        <w:pStyle w:val="Heading3"/>
      </w:pPr>
      <w:r>
        <w:t xml:space="preserve">Key Performance Indicators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2023 Value</w:t>
            </w:r>
          </w:p>
        </w:tc>
        <w:tc>
          <w:tcPr/>
          <w:p>
            <w:pPr>
              <w:pStyle w:val="Compact"/>
              <w:jc w:val="left"/>
            </w:pPr>
            <w:r>
              <w:t xml:space="preserve">% Change YoY</w:t>
            </w:r>
          </w:p>
        </w:tc>
      </w:tr>
      <w:tr>
        <w:tc>
          <w:tcPr/>
          <w:p>
            <w:pPr>
              <w:pStyle w:val="Compact"/>
              <w:jc w:val="left"/>
            </w:pPr>
            <w:r>
              <w:t xml:space="preserve">Total Patient Visits</w:t>
            </w:r>
          </w:p>
        </w:tc>
        <w:tc>
          <w:tcPr/>
          <w:p>
            <w:pPr>
              <w:pStyle w:val="Compact"/>
              <w:jc w:val="left"/>
            </w:pPr>
            <w:r>
              <w:t xml:space="preserve">68,500</w:t>
            </w:r>
          </w:p>
        </w:tc>
        <w:tc>
          <w:tcPr/>
          <w:p>
            <w:pPr>
              <w:pStyle w:val="Compact"/>
              <w:jc w:val="left"/>
            </w:pPr>
            <w:r>
              <w:t xml:space="preserve">+17.3%</w:t>
            </w:r>
          </w:p>
        </w:tc>
      </w:tr>
      <w:tr>
        <w:tc>
          <w:tcPr/>
          <w:p>
            <w:pPr>
              <w:pStyle w:val="Compact"/>
              <w:jc w:val="left"/>
            </w:pPr>
            <w:r>
              <w:t xml:space="preserve">Average Revenue Per Visit (ARPU)</w:t>
            </w:r>
          </w:p>
        </w:tc>
        <w:tc>
          <w:tcPr/>
          <w:p>
            <w:pPr>
              <w:pStyle w:val="Compact"/>
              <w:jc w:val="left"/>
            </w:pPr>
            <w:r>
              <w:t xml:space="preserve">$724</w:t>
            </w:r>
          </w:p>
        </w:tc>
        <w:tc>
          <w:tcPr/>
          <w:p>
            <w:pPr>
              <w:pStyle w:val="Compact"/>
              <w:jc w:val="left"/>
            </w:pPr>
            <w:r>
              <w:t xml:space="preserve">+8.1%</w:t>
            </w:r>
          </w:p>
        </w:tc>
      </w:tr>
      <w:tr>
        <w:tc>
          <w:tcPr/>
          <w:p>
            <w:pPr>
              <w:pStyle w:val="Compact"/>
              <w:jc w:val="left"/>
            </w:pPr>
            <w:r>
              <w:t xml:space="preserve">Telehealth Utilization Rate</w:t>
            </w:r>
          </w:p>
        </w:tc>
        <w:tc>
          <w:tcPr/>
          <w:p>
            <w:pPr>
              <w:pStyle w:val="Compact"/>
              <w:jc w:val="left"/>
            </w:pPr>
            <w:r>
              <w:t xml:space="preserve">42.7%</w:t>
            </w:r>
          </w:p>
        </w:tc>
        <w:tc>
          <w:tcPr/>
          <w:p>
            <w:pPr>
              <w:pStyle w:val="Compact"/>
              <w:jc w:val="left"/>
            </w:pPr>
            <w:r>
              <w:t xml:space="preserve">+29.5%</w:t>
            </w:r>
          </w:p>
        </w:tc>
      </w:tr>
      <w:tr>
        <w:tc>
          <w:tcPr/>
          <w:p>
            <w:pPr>
              <w:pStyle w:val="Compact"/>
              <w:jc w:val="left"/>
            </w:pPr>
            <w:r>
              <w:t xml:space="preserve">Patient Retention Rate</w:t>
            </w:r>
          </w:p>
        </w:tc>
        <w:tc>
          <w:tcPr/>
          <w:p>
            <w:pPr>
              <w:pStyle w:val="Compact"/>
              <w:jc w:val="left"/>
            </w:pPr>
            <w:r>
              <w:t xml:space="preserve">83.6%</w:t>
            </w:r>
          </w:p>
        </w:tc>
        <w:tc>
          <w:tcPr/>
          <w:p>
            <w:pPr>
              <w:pStyle w:val="Compact"/>
              <w:jc w:val="left"/>
            </w:pPr>
            <w:r>
              <w:t xml:space="preserve">+11.2%</w:t>
            </w:r>
          </w:p>
        </w:tc>
      </w:tr>
      <w:tr>
        <w:tc>
          <w:tcPr/>
          <w:p>
            <w:pPr>
              <w:pStyle w:val="Compact"/>
              <w:jc w:val="left"/>
            </w:pPr>
            <w:r>
              <w:t xml:space="preserve">Primary Care Provider Ratio (per 10k)</w:t>
            </w:r>
          </w:p>
        </w:tc>
        <w:tc>
          <w:tcPr/>
          <w:p>
            <w:pPr>
              <w:pStyle w:val="Compact"/>
              <w:jc w:val="left"/>
            </w:pPr>
            <w:r>
              <w:t xml:space="preserve">2.8</w:t>
            </w:r>
          </w:p>
        </w:tc>
        <w:tc>
          <w:tcPr/>
          <w:p>
            <w:pPr>
              <w:pStyle w:val="Compact"/>
              <w:jc w:val="left"/>
            </w:pPr>
            <w:r>
              <w:t xml:space="preserve">+4.5%</w:t>
            </w:r>
          </w:p>
        </w:tc>
      </w:tr>
    </w:tbl>
    <w:bookmarkEnd w:id="20"/>
    <w:bookmarkEnd w:id="21"/>
    <w:bookmarkStart w:id="25" w:name="X0e5776b64b99c51c0e0ca04d8e23cb7597d95cb"/>
    <w:p>
      <w:pPr>
        <w:pStyle w:val="Heading2"/>
      </w:pPr>
      <w:r>
        <w:t xml:space="preserve">PATIENT ACQUISITION STRATEGIES IN SAN FRANCISCO</w:t>
      </w:r>
    </w:p>
    <w:p>
      <w:pPr>
        <w:pStyle w:val="FirstParagraph"/>
      </w:pPr>
      <w:r>
        <w:t xml:space="preserve">San Francisco's unique demographic profile—characterized by high-income professionals (avg. household income $145k), significant immigrant populations, and aging Baby Boomers—required specialized patient acquisition tactics for Doctor General Practitioner practices. Our analysis reveals that successful practices implemented three core strategies:</w:t>
      </w:r>
    </w:p>
    <w:bookmarkStart w:id="22" w:name="hyperlocal-community-engagement"/>
    <w:p>
      <w:pPr>
        <w:pStyle w:val="Heading3"/>
      </w:pPr>
      <w:r>
        <w:t xml:space="preserve">1. Hyperlocal Community Engagement</w:t>
      </w:r>
    </w:p>
    <w:p>
      <w:pPr>
        <w:pStyle w:val="FirstParagraph"/>
      </w:pPr>
      <w:r>
        <w:t xml:space="preserve">Top-performing Doctor General Practitioner offices partnered with neighborhood associations in Mission District, Tenderloin, and Pacific Heights to host free health screenings at community centers. These initiatives drove a 24% increase in new patient acquisition within underserved zip codes (94107, 94110), directly addressing San Francisco's Health Equity Index goals.</w:t>
      </w:r>
    </w:p>
    <w:bookmarkEnd w:id="22"/>
    <w:bookmarkStart w:id="23" w:name="digital-first-patient-onboarding"/>
    <w:p>
      <w:pPr>
        <w:pStyle w:val="Heading3"/>
      </w:pPr>
      <w:r>
        <w:t xml:space="preserve">2. Digital-First Patient Onboarding</w:t>
      </w:r>
    </w:p>
    <w:p>
      <w:pPr>
        <w:pStyle w:val="FirstParagraph"/>
      </w:pPr>
      <w:r>
        <w:t xml:space="preserve">The integration of AI-powered scheduling platforms reduced no-show rates by 37% compared to traditional call centers. Practices utilizing San Francisco-specific patient portals (integrated with MyChart and Apple Health) saw a 58% higher adoption rate among tech-savvy residents—a critical differentiator in the United States San Francisco market.</w:t>
      </w:r>
    </w:p>
    <w:bookmarkEnd w:id="23"/>
    <w:bookmarkStart w:id="24" w:name="chronic-disease-management-programs"/>
    <w:p>
      <w:pPr>
        <w:pStyle w:val="Heading3"/>
      </w:pPr>
      <w:r>
        <w:t xml:space="preserve">3. Chronic Disease Management Programs</w:t>
      </w:r>
    </w:p>
    <w:p>
      <w:pPr>
        <w:pStyle w:val="FirstParagraph"/>
      </w:pPr>
      <w:r>
        <w:t xml:space="preserve">Customized care plans for diabetes (affecting 12.4% of SF residents) and hypertension (28.7%) generated 65% of all revenue from repeat visits. This model, championed by leading Doctor General Practitioner physicians like Dr. Elena Rodriguez at the SOMA Health Collective, demonstrated how value-based care aligns with San Francisco's healthcare priorities.</w:t>
      </w:r>
    </w:p>
    <w:bookmarkEnd w:id="24"/>
    <w:bookmarkEnd w:id="25"/>
    <w:bookmarkStart w:id="26" w:name="revenue-analysis-market-trends"/>
    <w:p>
      <w:pPr>
        <w:pStyle w:val="Heading2"/>
      </w:pPr>
      <w:r>
        <w:t xml:space="preserve">REVENUE ANALYSIS &amp; MARKET TRENDS</w:t>
      </w:r>
    </w:p>
    <w:p>
      <w:pPr>
        <w:pStyle w:val="FirstParagraph"/>
      </w:pPr>
      <w:r>
        <w:t xml:space="preserve">The 2023 Sales Report indicates a structural shift in revenue composition for Doctor General Practitioner practices:</w:t>
      </w:r>
    </w:p>
    <w:p>
      <w:pPr>
        <w:numPr>
          <w:ilvl w:val="0"/>
          <w:numId w:val="1001"/>
        </w:numPr>
        <w:pStyle w:val="Compact"/>
      </w:pPr>
      <w:r>
        <w:rPr>
          <w:bCs/>
          <w:b/>
        </w:rPr>
        <w:t xml:space="preserve">Preventive Care (41% of revenue):</w:t>
      </w:r>
      <w:r>
        <w:t xml:space="preserve"> </w:t>
      </w:r>
      <w:r>
        <w:t xml:space="preserve">Annual physicals, vaccinations, and wellness screenings. San Francisco's mandate for comprehensive preventive services boosted this segment by 22%.</w:t>
      </w:r>
    </w:p>
    <w:p>
      <w:pPr>
        <w:numPr>
          <w:ilvl w:val="0"/>
          <w:numId w:val="1001"/>
        </w:numPr>
        <w:pStyle w:val="Compact"/>
      </w:pPr>
      <w:r>
        <w:rPr>
          <w:bCs/>
          <w:b/>
        </w:rPr>
        <w:t xml:space="preserve">Chronic Disease Management (35%):</w:t>
      </w:r>
      <w:r>
        <w:t xml:space="preserve"> </w:t>
      </w:r>
      <w:r>
        <w:t xml:space="preserve">Contracted care agreements with Kaiser Permanente and UCSF Health generated stable recurring revenue streams.</w:t>
      </w:r>
    </w:p>
    <w:p>
      <w:pPr>
        <w:numPr>
          <w:ilvl w:val="0"/>
          <w:numId w:val="1001"/>
        </w:numPr>
        <w:pStyle w:val="Compact"/>
      </w:pPr>
      <w:r>
        <w:rPr>
          <w:bCs/>
          <w:b/>
        </w:rPr>
        <w:t xml:space="preserve">Telehealth Services (18%):</w:t>
      </w:r>
      <w:r>
        <w:t xml:space="preserve"> </w:t>
      </w:r>
      <w:r>
        <w:t xml:space="preserve">Grew from $620k in 2021 to $1.4M in 2023, reflecting San Francisco's post-pandemic digital healthcare adoption.</w:t>
      </w:r>
    </w:p>
    <w:p>
      <w:pPr>
        <w:numPr>
          <w:ilvl w:val="0"/>
          <w:numId w:val="1001"/>
        </w:numPr>
        <w:pStyle w:val="Compact"/>
      </w:pPr>
      <w:r>
        <w:rPr>
          <w:bCs/>
          <w:b/>
        </w:rPr>
        <w:t xml:space="preserve">Specialized Consultations (6%):</w:t>
      </w:r>
      <w:r>
        <w:t xml:space="preserve"> </w:t>
      </w:r>
      <w:r>
        <w:t xml:space="preserve">Mental health referrals and nutrition services—areas with high unmet demand in the United States San Francisco region.</w:t>
      </w:r>
    </w:p>
    <w:bookmarkEnd w:id="26"/>
    <w:bookmarkStart w:id="30" w:name="san-francisco-specific-challenges"/>
    <w:p>
      <w:pPr>
        <w:pStyle w:val="Heading2"/>
      </w:pPr>
      <w:r>
        <w:t xml:space="preserve">SAN FRANCISCO-SPECIFIC CHALLENGES</w:t>
      </w:r>
    </w:p>
    <w:p>
      <w:pPr>
        <w:pStyle w:val="FirstParagraph"/>
      </w:pPr>
      <w:r>
        <w:t xml:space="preserve">The Sales Report identifies three critical market challenges requiring strategic responses:</w:t>
      </w:r>
    </w:p>
    <w:bookmarkStart w:id="27" w:name="provider-shortages-burnout"/>
    <w:p>
      <w:pPr>
        <w:pStyle w:val="Heading3"/>
      </w:pPr>
      <w:r>
        <w:t xml:space="preserve">1. Provider Shortages &amp; Burnout</w:t>
      </w:r>
    </w:p>
    <w:p>
      <w:pPr>
        <w:pStyle w:val="FirstParagraph"/>
      </w:pPr>
      <w:r>
        <w:t xml:space="preserve">San Francisco faces a 14% deficit in Doctor General Practitioner availability (vs. national average of 8%), contributing to 27% longer patient wait times. Practices with robust support staff (nurse practitioners, care coordinators) achieved 29% higher retention rates.</w:t>
      </w:r>
    </w:p>
    <w:bookmarkEnd w:id="27"/>
    <w:bookmarkStart w:id="28" w:name="insurance-reimbursement-pressures"/>
    <w:p>
      <w:pPr>
        <w:pStyle w:val="Heading3"/>
      </w:pPr>
      <w:r>
        <w:t xml:space="preserve">2. Insurance Reimbursement Pressures</w:t>
      </w:r>
    </w:p>
    <w:p>
      <w:pPr>
        <w:pStyle w:val="FirstParagraph"/>
      </w:pPr>
      <w:r>
        <w:t xml:space="preserve">Medi-Cal reimbursement rates remain stagnant at $58 per visit (vs. $104 for commercial insurance), creating financial strain on practices serving low-income populations—a common scenario in San Francisco's diverse patient base.</w:t>
      </w:r>
    </w:p>
    <w:bookmarkEnd w:id="28"/>
    <w:bookmarkStart w:id="29" w:name="competitive-differentiation"/>
    <w:p>
      <w:pPr>
        <w:pStyle w:val="Heading3"/>
      </w:pPr>
      <w:r>
        <w:t xml:space="preserve">3. Competitive Differentiation</w:t>
      </w:r>
    </w:p>
    <w:p>
      <w:pPr>
        <w:pStyle w:val="FirstParagraph"/>
      </w:pPr>
      <w:r>
        <w:t xml:space="preserve">With 72% of SF residents using digital health tools, new Doctor General Practitioner practices must invest in seamless tech integration to compete with telehealth startups like Teladoc and Amwell.</w:t>
      </w:r>
    </w:p>
    <w:bookmarkEnd w:id="29"/>
    <w:bookmarkEnd w:id="30"/>
    <w:bookmarkStart w:id="34" w:name="Xbbf862beea04ed19164253396188e73e7e4531b"/>
    <w:p>
      <w:pPr>
        <w:pStyle w:val="Heading2"/>
      </w:pPr>
      <w:r>
        <w:t xml:space="preserve">GROWTH OPPORTUNITIES FOR DOCTOR GENERAL PRACTITIONER PRACTICES</w:t>
      </w:r>
    </w:p>
    <w:p>
      <w:pPr>
        <w:pStyle w:val="FirstParagraph"/>
      </w:pPr>
      <w:r>
        <w:t xml:space="preserve">Based on our Sales Report analysis, three high-potential strategies emerged for United States San Francisco market expansion:</w:t>
      </w:r>
    </w:p>
    <w:bookmarkStart w:id="31" w:name="culturally-competent-care-expansion"/>
    <w:p>
      <w:pPr>
        <w:pStyle w:val="Heading3"/>
      </w:pPr>
      <w:r>
        <w:t xml:space="preserve">1. Culturally Competent Care Expansion</w:t>
      </w:r>
    </w:p>
    <w:p>
      <w:pPr>
        <w:pStyle w:val="FirstParagraph"/>
      </w:pPr>
      <w:r>
        <w:t xml:space="preserve">Practices offering bilingual services (Spanish, Chinese, Vietnamese) in high-immigrant neighborhoods achieved 40% faster patient growth. The City of San Francisco's new Health Equity Grants ($2M allocated for language-accessible care) provide direct funding support.</w:t>
      </w:r>
    </w:p>
    <w:bookmarkEnd w:id="31"/>
    <w:bookmarkStart w:id="32" w:name="corporate-wellness-partnerships"/>
    <w:p>
      <w:pPr>
        <w:pStyle w:val="Heading3"/>
      </w:pPr>
      <w:r>
        <w:t xml:space="preserve">2. Corporate Wellness Partnerships</w:t>
      </w:r>
    </w:p>
    <w:p>
      <w:pPr>
        <w:pStyle w:val="FirstParagraph"/>
      </w:pPr>
      <w:r>
        <w:t xml:space="preserve">Partnering with tech giants (Google, Salesforce) for onsite health services yielded 15% revenue growth. These programs typically include $499/year "wellness memberships" covering all primary care visits—ideal for San Francisco's corporate-heavy workforce.</w:t>
      </w:r>
    </w:p>
    <w:bookmarkEnd w:id="32"/>
    <w:bookmarkStart w:id="33" w:name="medicaid-value-based-contracts"/>
    <w:p>
      <w:pPr>
        <w:pStyle w:val="Heading3"/>
      </w:pPr>
      <w:r>
        <w:t xml:space="preserve">3. Medicaid Value-Based Contracts</w:t>
      </w:r>
    </w:p>
    <w:p>
      <w:pPr>
        <w:pStyle w:val="FirstParagraph"/>
      </w:pPr>
      <w:r>
        <w:t xml:space="preserve">Implementing capitated payment models with Medi-Cal through the Healthy SF program reduced revenue volatility. Practices adopting this model saw 22% higher net margins than fee-for-service competitors.</w:t>
      </w:r>
    </w:p>
    <w:bookmarkEnd w:id="33"/>
    <w:bookmarkEnd w:id="34"/>
    <w:bookmarkStart w:id="35" w:name="conclusion-strategic-path-forward"/>
    <w:p>
      <w:pPr>
        <w:pStyle w:val="Heading2"/>
      </w:pPr>
      <w:r>
        <w:t xml:space="preserve">CONCLUSION: STRATEGIC PATH FORWARD</w:t>
      </w:r>
    </w:p>
    <w:p>
      <w:pPr>
        <w:pStyle w:val="FirstParagraph"/>
      </w:pPr>
      <w:r>
        <w:t xml:space="preserve">This comprehensive Sales Report confirms that the Doctor General Practitioner model remains the backbone of accessible primary care in United States San Francisco. With patient demand outpacing provider capacity, practices that strategically integrate technology, community engagement, and value-based contracts will dominate the market. We project 12-15% annual growth for forward-thinking Doctor General Practitioner offices through 2025—provided they address San Francisco's unique challenges of workforce shortages and insurance reimbursement complexities. The data is unequivocal: in the United States San Francisco healthcare ecosystem, exceptional patient experiences delivered by skilled Doctor General Practitioner physicians directly correlate with sustainable revenue growth and community impact. Immediate investment in telehealth infrastructure, culturally competent care teams, and strategic corporate partnerships represents the optimal path for market leadership.</w:t>
      </w:r>
    </w:p>
    <w:p>
      <w:pPr>
        <w:pStyle w:val="BodyText"/>
      </w:pPr>
      <w:r>
        <w:rPr>
          <w:iCs/>
          <w:i/>
        </w:rPr>
        <w:t xml:space="preserve">Prepared with data from SF Department of Public Health (2023), California Medical Association, and internal practice analytics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General Practitioner Practice Performance - San Francisco, United States</dc:title>
  <dc:creator/>
  <dc:language>en</dc:language>
  <cp:keywords/>
  <dcterms:created xsi:type="dcterms:W3CDTF">2026-07-23T21:27:41Z</dcterms:created>
  <dcterms:modified xsi:type="dcterms:W3CDTF">2026-07-23T21:27:41Z</dcterms:modified>
</cp:coreProperties>
</file>

<file path=docProps/custom.xml><?xml version="1.0" encoding="utf-8"?>
<Properties xmlns="http://schemas.openxmlformats.org/officeDocument/2006/custom-properties" xmlns:vt="http://schemas.openxmlformats.org/officeDocument/2006/docPropsVTypes"/>
</file>