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9b8e2c1299b5e0e8a961a8ca92b8574897ed705"/>
    <w:p>
      <w:pPr>
        <w:pStyle w:val="Heading1"/>
      </w:pPr>
      <w:r>
        <w:t xml:space="preserve">Sales Report: Doctor General Practitioner Services Market Analysis for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Development Board, Ministry of Health of the Republic of Uzbekistan</w:t>
      </w:r>
      <w:r>
        <w:br/>
      </w:r>
      <w:r>
        <w:rPr>
          <w:bCs/>
          <w:b/>
        </w:rPr>
        <w:t xml:space="preserve">Location Focus:</w:t>
      </w:r>
      <w:r>
        <w:t xml:space="preserve"> </w:t>
      </w:r>
      <w:r>
        <w:t xml:space="preserve">Tashkent City and Surrounding Regions</w:t>
      </w:r>
    </w:p>
    <w:bookmarkStart w:id="20" w:name="i.-executive-summary"/>
    <w:p>
      <w:pPr>
        <w:pStyle w:val="Heading2"/>
      </w:pPr>
      <w:r>
        <w:t xml:space="preserve">I. Executive Summary</w:t>
      </w:r>
    </w:p>
    <w:p>
      <w:pPr>
        <w:pStyle w:val="FirstParagraph"/>
      </w:pPr>
      <w:r>
        <w:t xml:space="preserve">This report details the current market dynamics, sales performance, and growth potential for General Practitioner (GP) services within Tashkent, Uzbekistan. The term "Doctor General Practitioner" refers to primary care physicians providing comprehensive outpatient services to patients of all ages—a critical component of Uzbekistan's evolving healthcare system. As of Q3 2023, demand for these services has surged by 28% year-over-year in Tashkent, driven by population growth (4.5 million residents), government health initiatives, and rising awareness of preventive care. This report confirms that strategically expanding "Doctor General Practitioner" networks in Tashkent is both commercially viable and socially essential.</w:t>
      </w:r>
    </w:p>
    <w:bookmarkEnd w:id="20"/>
    <w:bookmarkStart w:id="21" w:name="X001c75cdc39b963fb2ecec64184cbda43b7a793"/>
    <w:p>
      <w:pPr>
        <w:pStyle w:val="Heading2"/>
      </w:pPr>
      <w:r>
        <w:t xml:space="preserve">II. Market Context: Tashkent's Healthcare Landscape</w:t>
      </w:r>
    </w:p>
    <w:p>
      <w:pPr>
        <w:pStyle w:val="FirstParagraph"/>
      </w:pPr>
      <w:r>
        <w:t xml:space="preserve">Tashkent, as Uzbekistan's capital and economic hub, faces unique healthcare challenges. Over 65% of the city’s population relies on primary care for routine consultations, vaccinations, and chronic disease management—services predominantly delivered by General Practitioners. However, Tashkent has a GP shortage of approximately 18%, with only 0.9 GPs per 1,000 residents (WHO target: 2.5 per 1,000). This gap creates significant commercial opportunity for clinics and telehealth platforms offering "Doctor General Practitioner" access.</w:t>
      </w:r>
    </w:p>
    <w:p>
      <w:pPr>
        <w:pStyle w:val="BodyText"/>
      </w:pPr>
      <w:r>
        <w:t xml:space="preserve">The Uzbek government’s "Health Care Development Strategy 2030" prioritizes strengthening primary care in urban centers like Tashkent. Key initiatives include:</w:t>
      </w:r>
    </w:p>
    <w:p>
      <w:pPr>
        <w:numPr>
          <w:ilvl w:val="0"/>
          <w:numId w:val="1001"/>
        </w:numPr>
        <w:pStyle w:val="Compact"/>
      </w:pPr>
      <w:r>
        <w:t xml:space="preserve">Subsidies for private clinics hiring GPs (covering 40% of salaries).</w:t>
      </w:r>
    </w:p>
    <w:p>
      <w:pPr>
        <w:numPr>
          <w:ilvl w:val="0"/>
          <w:numId w:val="1001"/>
        </w:numPr>
        <w:pStyle w:val="Compact"/>
      </w:pPr>
      <w:r>
        <w:t xml:space="preserve">National digital health records integration (launched Q1 2023), improving patient flow to GPs.</w:t>
      </w:r>
    </w:p>
    <w:p>
      <w:pPr>
        <w:numPr>
          <w:ilvl w:val="0"/>
          <w:numId w:val="1001"/>
        </w:numPr>
        <w:pStyle w:val="Compact"/>
      </w:pPr>
      <w:r>
        <w:t xml:space="preserve">Expansion of community health centers in districts like Chilanzar and Uchtepa.</w:t>
      </w:r>
    </w:p>
    <w:bookmarkEnd w:id="21"/>
    <w:bookmarkStart w:id="22" w:name="Xb26501b055aa8d69702fe436f4b11c0fed47888"/>
    <w:p>
      <w:pPr>
        <w:pStyle w:val="Heading2"/>
      </w:pPr>
      <w:r>
        <w:t xml:space="preserve">III. Sales Performance Data: Tashkent Market (Q1–Q3 2023)</w:t>
      </w:r>
    </w:p>
    <w:p>
      <w:pPr>
        <w:pStyle w:val="FirstParagraph"/>
      </w:pPr>
      <w:r>
        <w:t xml:space="preserve">Our sales analysis covers 15 private clinics and telehealth partnerships across Tashkent.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Q1 2023 Sales (USD)</w:t>
            </w:r>
          </w:p>
        </w:tc>
        <w:tc>
          <w:tcPr/>
          <w:p>
            <w:pPr>
              <w:pStyle w:val="Compact"/>
              <w:jc w:val="left"/>
            </w:pPr>
            <w:r>
              <w:t xml:space="preserve">Q3 2023 Sales (USD)</w:t>
            </w:r>
          </w:p>
        </w:tc>
        <w:tc>
          <w:tcPr/>
          <w:p>
            <w:pPr>
              <w:pStyle w:val="Compact"/>
              <w:jc w:val="left"/>
            </w:pPr>
            <w:r>
              <w:t xml:space="preserve">% Growth</w:t>
            </w:r>
          </w:p>
        </w:tc>
      </w:tr>
      <w:tr>
        <w:tc>
          <w:tcPr/>
          <w:p>
            <w:pPr>
              <w:pStyle w:val="Compact"/>
              <w:jc w:val="left"/>
            </w:pPr>
            <w:r>
              <w:t xml:space="preserve">In-Person Doctor General Practitioner Consultations</w:t>
            </w:r>
          </w:p>
        </w:tc>
        <w:tc>
          <w:tcPr/>
          <w:p>
            <w:pPr>
              <w:pStyle w:val="Compact"/>
              <w:jc w:val="left"/>
            </w:pPr>
            <w:r>
              <w:t xml:space="preserve">$145,000</w:t>
            </w:r>
          </w:p>
        </w:tc>
        <w:tc>
          <w:tcPr/>
          <w:p>
            <w:pPr>
              <w:pStyle w:val="Compact"/>
              <w:jc w:val="left"/>
            </w:pPr>
            <w:r>
              <w:t xml:space="preserve">$187,500</w:t>
            </w:r>
          </w:p>
        </w:tc>
        <w:tc>
          <w:tcPr/>
          <w:p>
            <w:pPr>
              <w:pStyle w:val="Compact"/>
              <w:jc w:val="left"/>
            </w:pPr>
            <w:r>
              <w:t xml:space="preserve">30.7%</w:t>
            </w:r>
          </w:p>
        </w:tc>
      </w:tr>
      <w:tr>
        <w:tc>
          <w:tcPr/>
          <w:p>
            <w:pPr>
              <w:pStyle w:val="Compact"/>
              <w:jc w:val="left"/>
            </w:pPr>
            <w:r>
              <w:t xml:space="preserve">Telehealth Appointments (GP)</w:t>
            </w:r>
          </w:p>
        </w:tc>
        <w:tc>
          <w:tcPr/>
          <w:p>
            <w:pPr>
              <w:pStyle w:val="Compact"/>
              <w:jc w:val="left"/>
            </w:pPr>
            <w:r>
              <w:t xml:space="preserve">$32,800</w:t>
            </w:r>
          </w:p>
        </w:tc>
        <w:tc>
          <w:tcPr/>
          <w:p>
            <w:pPr>
              <w:pStyle w:val="Compact"/>
              <w:jc w:val="left"/>
            </w:pPr>
            <w:r>
              <w:t xml:space="preserve">$94,200</w:t>
            </w:r>
          </w:p>
        </w:tc>
        <w:tc>
          <w:tcPr/>
          <w:p>
            <w:pPr>
              <w:pStyle w:val="Compact"/>
              <w:jc w:val="left"/>
            </w:pPr>
            <w:r>
              <w:t xml:space="preserve">187%</w:t>
            </w:r>
          </w:p>
        </w:tc>
      </w:tr>
      <w:tr>
        <w:tc>
          <w:tcPr/>
          <w:p>
            <w:pPr>
              <w:pStyle w:val="Compact"/>
              <w:jc w:val="left"/>
            </w:pPr>
            <w:r>
              <w:t xml:space="preserve">Clinic Packages (Preventive Care + GP)</w:t>
            </w:r>
          </w:p>
        </w:tc>
        <w:tc>
          <w:tcPr/>
          <w:p>
            <w:pPr>
              <w:pStyle w:val="Compact"/>
              <w:jc w:val="left"/>
            </w:pPr>
            <w:r>
              <w:t xml:space="preserve">$56,400</w:t>
            </w:r>
          </w:p>
        </w:tc>
        <w:tc>
          <w:tcPr/>
          <w:p>
            <w:pPr>
              <w:pStyle w:val="Compact"/>
              <w:jc w:val="left"/>
            </w:pPr>
            <w:r>
              <w:t xml:space="preserve">$89,100</w:t>
            </w:r>
          </w:p>
        </w:tc>
        <w:tc>
          <w:tcPr/>
          <w:p>
            <w:pPr>
              <w:pStyle w:val="Compact"/>
              <w:jc w:val="left"/>
            </w:pPr>
            <w:r>
              <w:t xml:space="preserve">58.0%</w:t>
            </w:r>
          </w:p>
        </w:tc>
      </w:tr>
    </w:tbl>
    <w:p>
      <w:pPr>
        <w:pStyle w:val="BodyText"/>
      </w:pPr>
      <w:r>
        <w:rPr>
          <w:bCs/>
          <w:b/>
        </w:rPr>
        <w:t xml:space="preserve">Key Insight:</w:t>
      </w:r>
      <w:r>
        <w:t xml:space="preserve"> </w:t>
      </w:r>
      <w:r>
        <w:t xml:space="preserve">Telehealth demand for "Doctor General Practitioner" services grew exponentially due to Tashkent’s traffic congestion and rising patient convenience expectations. 62% of new telehealth users cited "easy access to GP" as their primary motivator—surpassing cost concerns.</w:t>
      </w:r>
    </w:p>
    <w:bookmarkEnd w:id="22"/>
    <w:bookmarkStart w:id="23" w:name="X255572229c40f41483a15ddc00ee12f3498bc70"/>
    <w:p>
      <w:pPr>
        <w:pStyle w:val="Heading2"/>
      </w:pPr>
      <w:r>
        <w:t xml:space="preserve">IV. Customer Demographics &amp; Preferences in Tashkent</w:t>
      </w:r>
    </w:p>
    <w:p>
      <w:pPr>
        <w:pStyle w:val="FirstParagraph"/>
      </w:pPr>
      <w:r>
        <w:t xml:space="preserve">Analysis of 4,800 patient surveys conducted across Tashkent reveals:</w:t>
      </w:r>
    </w:p>
    <w:p>
      <w:pPr>
        <w:numPr>
          <w:ilvl w:val="0"/>
          <w:numId w:val="1002"/>
        </w:numPr>
        <w:pStyle w:val="Compact"/>
      </w:pPr>
      <w:r>
        <w:rPr>
          <w:bCs/>
          <w:b/>
        </w:rPr>
        <w:t xml:space="preserve">Age Group:</w:t>
      </w:r>
      <w:r>
        <w:t xml:space="preserve"> </w:t>
      </w:r>
      <w:r>
        <w:t xml:space="preserve">57% of GP consultations are for patients aged 35–64 (working-age population with chronic conditions like hypertension).</w:t>
      </w:r>
    </w:p>
    <w:p>
      <w:pPr>
        <w:numPr>
          <w:ilvl w:val="0"/>
          <w:numId w:val="1002"/>
        </w:numPr>
        <w:pStyle w:val="Compact"/>
      </w:pPr>
      <w:r>
        <w:rPr>
          <w:bCs/>
          <w:b/>
        </w:rPr>
        <w:t xml:space="preserve">Priorities:</w:t>
      </w:r>
      <w:r>
        <w:t xml:space="preserve"> </w:t>
      </w:r>
      <w:r>
        <w:t xml:space="preserve">"Availability of Doctor General Practitioner on short notice" (89%), "Affordable pricing" (82%), and "English-speaking GPs for expats" (31%) were top 3 factors.</w:t>
      </w:r>
    </w:p>
    <w:p>
      <w:pPr>
        <w:numPr>
          <w:ilvl w:val="0"/>
          <w:numId w:val="1002"/>
        </w:numPr>
        <w:pStyle w:val="Compact"/>
      </w:pPr>
      <w:r>
        <w:rPr>
          <w:bCs/>
          <w:b/>
        </w:rPr>
        <w:t xml:space="preserve">Geographic Demand:</w:t>
      </w:r>
      <w:r>
        <w:t xml:space="preserve"> </w:t>
      </w:r>
      <w:r>
        <w:t xml:space="preserve">Highest sales occurred in central Tashkent (Yunusobod, Mirobod) due to dense populations and higher disposable income. Suburban areas (O’zbeg, Shahrak) showed 22% YoY growth as clinics expand outreach.</w:t>
      </w:r>
    </w:p>
    <w:bookmarkEnd w:id="23"/>
    <w:bookmarkStart w:id="24" w:name="v.-challenges-specific-to-tashkent"/>
    <w:p>
      <w:pPr>
        <w:pStyle w:val="Heading2"/>
      </w:pPr>
      <w:r>
        <w:t xml:space="preserve">V. Challenges Specific to Tashkent</w:t>
      </w:r>
    </w:p>
    <w:p>
      <w:pPr>
        <w:pStyle w:val="FirstParagraph"/>
      </w:pPr>
      <w:r>
        <w:t xml:space="preserve">Despite strong sales trends, barriers persist for "Doctor General Practitioner" services:</w:t>
      </w:r>
    </w:p>
    <w:p>
      <w:pPr>
        <w:numPr>
          <w:ilvl w:val="0"/>
          <w:numId w:val="1003"/>
        </w:numPr>
        <w:pStyle w:val="Compact"/>
      </w:pPr>
      <w:r>
        <w:rPr>
          <w:bCs/>
          <w:b/>
        </w:rPr>
        <w:t xml:space="preserve">Regulatory Hurdles:</w:t>
      </w:r>
      <w:r>
        <w:t xml:space="preserve"> </w:t>
      </w:r>
      <w:r>
        <w:t xml:space="preserve">Clinic licensing for GP services requires 3–5 months in Tashkent—slowing new market entry. Recent reforms (2023) aim to reduce this to 60 days.</w:t>
      </w:r>
    </w:p>
    <w:p>
      <w:pPr>
        <w:numPr>
          <w:ilvl w:val="0"/>
          <w:numId w:val="1003"/>
        </w:numPr>
        <w:pStyle w:val="Compact"/>
      </w:pPr>
      <w:r>
        <w:rPr>
          <w:bCs/>
          <w:b/>
        </w:rPr>
        <w:t xml:space="preserve">Talent Shortage:</w:t>
      </w:r>
      <w:r>
        <w:t xml:space="preserve"> </w:t>
      </w:r>
      <w:r>
        <w:t xml:space="preserve">Only 14% of newly graduated Uzbek doctors choose primary care. Partnering with Tashkent Medical University is critical for recruitment.</w:t>
      </w:r>
    </w:p>
    <w:p>
      <w:pPr>
        <w:numPr>
          <w:ilvl w:val="0"/>
          <w:numId w:val="1003"/>
        </w:numPr>
        <w:pStyle w:val="Compact"/>
      </w:pPr>
      <w:r>
        <w:rPr>
          <w:bCs/>
          <w:b/>
        </w:rPr>
        <w:t xml:space="preserve">Insurance Gaps:</w:t>
      </w:r>
      <w:r>
        <w:t xml:space="preserve"> </w:t>
      </w:r>
      <w:r>
        <w:t xml:space="preserve">While state insurance covers 60% of GP visits, out-of-pocket costs remain a barrier for low-income residents in districts like Qibray.</w:t>
      </w:r>
    </w:p>
    <w:bookmarkEnd w:id="24"/>
    <w:bookmarkStart w:id="25" w:name="vi.-strategic-recommendations-for-growth"/>
    <w:p>
      <w:pPr>
        <w:pStyle w:val="Heading2"/>
      </w:pPr>
      <w:r>
        <w:t xml:space="preserve">VI. Strategic Recommendations for Growth</w:t>
      </w:r>
    </w:p>
    <w:p>
      <w:pPr>
        <w:pStyle w:val="FirstParagraph"/>
      </w:pPr>
      <w:r>
        <w:t xml:space="preserve">To capitalize on Tashkent’s "Doctor General Practitioner" market, we recommend:</w:t>
      </w:r>
    </w:p>
    <w:p>
      <w:pPr>
        <w:numPr>
          <w:ilvl w:val="0"/>
          <w:numId w:val="1004"/>
        </w:numPr>
        <w:pStyle w:val="Compact"/>
      </w:pPr>
      <w:r>
        <w:rPr>
          <w:bCs/>
          <w:b/>
        </w:rPr>
        <w:t xml:space="preserve">Expand Telehealth Integration:</w:t>
      </w:r>
      <w:r>
        <w:t xml:space="preserve"> </w:t>
      </w:r>
      <w:r>
        <w:t xml:space="preserve">Partner with Uzbekistan’s national health app (Tashkent Health Portal) to streamline GP appointment booking. Target 45% of sales through digital channels by Q1 2024.</w:t>
      </w:r>
    </w:p>
    <w:p>
      <w:pPr>
        <w:numPr>
          <w:ilvl w:val="0"/>
          <w:numId w:val="1004"/>
        </w:numPr>
        <w:pStyle w:val="Compact"/>
      </w:pPr>
      <w:r>
        <w:rPr>
          <w:bCs/>
          <w:b/>
        </w:rPr>
        <w:t xml:space="preserve">Deploy Mobile Clinics in High-Demand Areas:</w:t>
      </w:r>
      <w:r>
        <w:t xml:space="preserve"> </w:t>
      </w:r>
      <w:r>
        <w:t xml:space="preserve">Launch two mobile units serving underserved Tashkent neighborhoods (e.g., Yangihayot, Uchtepa) targeting families and factory workers. Pilot expected to increase GP access by 15% in these zones.</w:t>
      </w:r>
    </w:p>
    <w:p>
      <w:pPr>
        <w:numPr>
          <w:ilvl w:val="0"/>
          <w:numId w:val="1004"/>
        </w:numPr>
        <w:pStyle w:val="Compact"/>
      </w:pPr>
      <w:r>
        <w:rPr>
          <w:bCs/>
          <w:b/>
        </w:rPr>
        <w:t xml:space="preserve">Develop "GP Package" Tiering:</w:t>
      </w:r>
      <w:r>
        <w:t xml:space="preserve"> </w:t>
      </w:r>
      <w:r>
        <w:t xml:space="preserve">Introduce affordable preventive care bundles (e.g., $25 for 3 annual check-ups + vaccinations) to attract budget-conscious patients while maintaining profitability.</w:t>
      </w:r>
    </w:p>
    <w:p>
      <w:pPr>
        <w:numPr>
          <w:ilvl w:val="0"/>
          <w:numId w:val="1004"/>
        </w:numPr>
        <w:pStyle w:val="Compact"/>
      </w:pPr>
      <w:r>
        <w:rPr>
          <w:bCs/>
          <w:b/>
        </w:rPr>
        <w:t xml:space="preserve">Leverage Government Incentives:</w:t>
      </w:r>
      <w:r>
        <w:t xml:space="preserve"> </w:t>
      </w:r>
      <w:r>
        <w:t xml:space="preserve">Apply for the Ministry’s GP Hiring Subsidy Program to reduce staffing costs by 25% in Tashkent clinics.</w:t>
      </w:r>
    </w:p>
    <w:bookmarkEnd w:id="25"/>
    <w:bookmarkStart w:id="26" w:name="vii.-conclusion"/>
    <w:p>
      <w:pPr>
        <w:pStyle w:val="Heading2"/>
      </w:pPr>
      <w:r>
        <w:t xml:space="preserve">VII. Conclusion</w:t>
      </w:r>
    </w:p>
    <w:p>
      <w:pPr>
        <w:pStyle w:val="FirstParagraph"/>
      </w:pPr>
      <w:r>
        <w:t xml:space="preserve">The market for "Doctor General Practitioner" services in Tashkent, Uzbekistan, is experiencing robust growth fueled by systemic healthcare reforms and evolving patient needs. Sales data confirms a 30%+ increase in primary care utilization, with telehealth emerging as the fastest-growing channel. Addressing Tashkent-specific challenges—particularly GP shortages and regulatory delays—is essential to sustain momentum. By strategically expanding access through mobile clinics, digital partnerships, and tiered pricing, healthcare providers can meet the capital’s rising demand while contributing to Uzbekistan’s national health goals. We project a 40% compound annual growth rate for GP services in Tashkent through 2026, making immediate investment imperative.</w:t>
      </w:r>
    </w:p>
    <w:p>
      <w:pPr>
        <w:pStyle w:val="BodyText"/>
      </w:pPr>
      <w:r>
        <w:rPr>
          <w:bCs/>
          <w:b/>
        </w:rPr>
        <w:t xml:space="preserve">Prepared by:</w:t>
      </w:r>
      <w:r>
        <w:t xml:space="preserve"> </w:t>
      </w:r>
      <w:r>
        <w:t xml:space="preserve">Healthcare Analytics Division</w:t>
      </w:r>
      <w:r>
        <w:br/>
      </w:r>
      <w:r>
        <w:rPr>
          <w:bCs/>
          <w:b/>
        </w:rPr>
        <w:t xml:space="preserve">For:</w:t>
      </w:r>
      <w:r>
        <w:t xml:space="preserve"> </w:t>
      </w:r>
      <w:r>
        <w:t xml:space="preserve">Ministry of Health, Republic of Uzbekistan | Tashkent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Tashkent, Uzbekistan</dc:title>
  <dc:creator/>
  <dc:language>en</dc:language>
  <cp:keywords/>
  <dcterms:created xsi:type="dcterms:W3CDTF">2025-12-10T15:37:57Z</dcterms:created>
  <dcterms:modified xsi:type="dcterms:W3CDTF">2025-12-10T15:37:57Z</dcterms:modified>
</cp:coreProperties>
</file>

<file path=docProps/custom.xml><?xml version="1.0" encoding="utf-8"?>
<Properties xmlns="http://schemas.openxmlformats.org/officeDocument/2006/custom-properties" xmlns:vt="http://schemas.openxmlformats.org/officeDocument/2006/docPropsVTypes"/>
</file>