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672f3e1f44eed5fdeff8bdadcf7d1bb5e14a62c"/>
    <w:p>
      <w:pPr>
        <w:pStyle w:val="Heading1"/>
      </w:pPr>
      <w:r>
        <w:t xml:space="preserve">Comprehensive Sales Report: Doctor General Practitioner Services in Venezuela Caracas</w:t>
      </w:r>
    </w:p>
    <w:bookmarkStart w:id="20" w:name="X809a9b4bdabd55a32c51fa1854f3f7bc55c23e0"/>
    <w:p>
      <w:pPr>
        <w:pStyle w:val="Heading2"/>
      </w:pPr>
      <w:r>
        <w:t xml:space="preserve">Prepared for: Management Executive Committee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Inc. - Caracas Operations</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Sales Report details the performance metrics and market dynamics of Doctor General Practitioner (GP) services across Venezuela Caracas during Q3 2023. Despite enduring economic volatility, our strategic focus on primary care solutions has yielded a 14% year-over-year revenue increase, positioning us as a critical partner for GPs navigating Venezuela's healthcare landscape. This document provides actionable insights for optimizing sales strategies in Caracas' unique environment where the Doctor General Practitioner serves as the frontline of community health access.</w:t>
      </w:r>
    </w:p>
    <w:bookmarkEnd w:id="21"/>
    <w:bookmarkStart w:id="22" w:name="X3850cb43f9942895b24ee1e44fa20ac5920c42f"/>
    <w:p>
      <w:pPr>
        <w:pStyle w:val="Heading2"/>
      </w:pPr>
      <w:r>
        <w:t xml:space="preserve">II. Sales Performance Overview: Venezuela Caracas Context</w:t>
      </w:r>
    </w:p>
    <w:p>
      <w:pPr>
        <w:pStyle w:val="FirstParagraph"/>
      </w:pPr>
      <w:r>
        <w:t xml:space="preserve">Our Q3 2023 operations in Venezuela Caracas demonstrated resilience amid national economic challenges. Total revenue reached $187,500 USD (equivalent to Bs.F 49,875,000), a 14.2% increase from Q3 2022. This growth stems primarily from expanded service packages for Doctor General Practitioner clinics in Caracas' urban and peri-urban zones. Key metrics include:</w:t>
      </w:r>
    </w:p>
    <w:p>
      <w:pPr>
        <w:numPr>
          <w:ilvl w:val="0"/>
          <w:numId w:val="1001"/>
        </w:numPr>
        <w:pStyle w:val="Compact"/>
      </w:pPr>
      <w:r>
        <w:rPr>
          <w:bCs/>
          <w:b/>
        </w:rPr>
        <w:t xml:space="preserve">Client Acquisition:</w:t>
      </w:r>
      <w:r>
        <w:t xml:space="preserve"> </w:t>
      </w:r>
      <w:r>
        <w:t xml:space="preserve">37 new Doctor General Practitioner practices onboarded (up 22% YoY), concentrated in Petare, La Castellana, and Los Teques corridors</w:t>
      </w:r>
    </w:p>
    <w:p>
      <w:pPr>
        <w:numPr>
          <w:ilvl w:val="0"/>
          <w:numId w:val="1001"/>
        </w:numPr>
        <w:pStyle w:val="Compact"/>
      </w:pPr>
      <w:r>
        <w:rPr>
          <w:bCs/>
          <w:b/>
        </w:rPr>
        <w:t xml:space="preserve">Service Adoption:</w:t>
      </w:r>
      <w:r>
        <w:t xml:space="preserve"> </w:t>
      </w:r>
      <w:r>
        <w:t xml:space="preserve">Telemedicine subscriptions surged by 41%, driven by GP demand for remote patient monitoring amid transportation shortages</w:t>
      </w:r>
    </w:p>
    <w:p>
      <w:pPr>
        <w:numPr>
          <w:ilvl w:val="0"/>
          <w:numId w:val="1001"/>
        </w:numPr>
        <w:pStyle w:val="Compact"/>
      </w:pPr>
      <w:r>
        <w:rPr>
          <w:bCs/>
          <w:b/>
        </w:rPr>
        <w:t xml:space="preserve">Product Sales:</w:t>
      </w:r>
      <w:r>
        <w:t xml:space="preserve"> </w:t>
      </w:r>
      <w:r>
        <w:t xml:space="preserve">Diagnostic kits (hemoglobin tests, rapid flu panels) recorded 28% higher volume as GPs prioritize cost-effective point-of-care solutions</w:t>
      </w:r>
    </w:p>
    <w:bookmarkEnd w:id="22"/>
    <w:bookmarkStart w:id="23" w:name="X7ee6f5e988d712fcb810a8e27b947b86b4ee995"/>
    <w:p>
      <w:pPr>
        <w:pStyle w:val="Heading2"/>
      </w:pPr>
      <w:r>
        <w:t xml:space="preserve">III. Market Analysis: The Doctor General Practitioner's Role in Caracas</w:t>
      </w:r>
    </w:p>
    <w:p>
      <w:pPr>
        <w:pStyle w:val="FirstParagraph"/>
      </w:pPr>
      <w:r>
        <w:t xml:space="preserve">In Venezuela Caracas, the Doctor General Practitioner operates under extreme resource constraints. With 74% of public healthcare facilities experiencing critical supply shortages (MINSA, 2023), private GPs have become indispensable community health hubs. Our market intelligence confirms:</w:t>
      </w:r>
    </w:p>
    <w:p>
      <w:pPr>
        <w:pStyle w:val="BlockText"/>
      </w:pPr>
      <w:r>
        <w:t xml:space="preserve">"General Practitioners now serve as the primary point-of-contact for 89% of Caracas residents, managing cases ranging from chronic disease control to emergency triage in absence of specialized services."</w:t>
      </w:r>
    </w:p>
    <w:p>
      <w:pPr>
        <w:pStyle w:val="FirstParagraph"/>
      </w:pPr>
      <w:r>
        <w:t xml:space="preserve">This context directly shapes our sales strategy. GPs prioritize solutions offering immediate operational value over luxury features. Our success hinges on products that reduce clinic overhead (e.g., cloud-based EHR systems replacing paper records) and improve patient retention through accessible care models.</w:t>
      </w:r>
    </w:p>
    <w:bookmarkEnd w:id="23"/>
    <w:bookmarkStart w:id="24" w:name="X897b56e7b8c0897774c65397cf3d1e160a3e581"/>
    <w:p>
      <w:pPr>
        <w:pStyle w:val="Heading2"/>
      </w:pPr>
      <w:r>
        <w:t xml:space="preserve">IV. Economic Challenges &amp; Adaptive Sales Strategies</w:t>
      </w:r>
    </w:p>
    <w:p>
      <w:pPr>
        <w:pStyle w:val="FirstParagraph"/>
      </w:pPr>
      <w:r>
        <w:t xml:space="preserve">Venezuela Caracas' economic environment presents unique sales challenges requiring tailored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Economic Factor</w:t>
            </w:r>
          </w:p>
        </w:tc>
        <w:tc>
          <w:tcPr/>
          <w:p>
            <w:pPr>
              <w:pStyle w:val="Compact"/>
              <w:jc w:val="left"/>
            </w:pPr>
            <w:r>
              <w:t xml:space="preserve">Impact on GP Purchasing</w:t>
            </w:r>
          </w:p>
        </w:tc>
        <w:tc>
          <w:tcPr/>
          <w:p>
            <w:pPr>
              <w:pStyle w:val="Compact"/>
              <w:jc w:val="left"/>
            </w:pPr>
            <w:r>
              <w:t xml:space="preserve">Our Adaptation Strategy</w:t>
            </w:r>
          </w:p>
        </w:tc>
      </w:tr>
      <w:tr>
        <w:tc>
          <w:tcPr/>
          <w:p>
            <w:pPr>
              <w:pStyle w:val="Compact"/>
              <w:jc w:val="left"/>
            </w:pPr>
            <w:r>
              <w:t xml:space="preserve">Hyperinflation (130% YoY)</w:t>
            </w:r>
          </w:p>
        </w:tc>
        <w:tc>
          <w:tcPr/>
          <w:p>
            <w:pPr>
              <w:pStyle w:val="Compact"/>
              <w:jc w:val="left"/>
            </w:pPr>
            <w:r>
              <w:t xml:space="preserve">GP budget volatility; 68% of clinics delay non-essential purchases</w:t>
            </w:r>
          </w:p>
        </w:tc>
        <w:tc>
          <w:tcPr/>
          <w:p>
            <w:pPr>
              <w:pStyle w:val="Compact"/>
              <w:jc w:val="left"/>
            </w:pPr>
            <w:r>
              <w:rPr>
                <w:bCs/>
                <w:b/>
              </w:rPr>
              <w:t xml:space="preserve">Flexible Payment Plans:</w:t>
            </w:r>
            <w:r>
              <w:t xml:space="preserve"> </w:t>
            </w:r>
            <w:r>
              <w:t xml:space="preserve">Introduced Bs.F-denominated installment options with 0% interest, aligning with clinic cash flow cycles</w:t>
            </w:r>
          </w:p>
        </w:tc>
      </w:tr>
      <w:tr>
        <w:tc>
          <w:tcPr/>
          <w:p>
            <w:pPr>
              <w:pStyle w:val="Compact"/>
              <w:jc w:val="left"/>
            </w:pPr>
            <w:r>
              <w:t xml:space="preserve">Currency Instability (USD/Bs.F rates fluctuating 15% weekly)</w:t>
            </w:r>
          </w:p>
        </w:tc>
        <w:tc>
          <w:tcPr/>
          <w:p>
            <w:pPr>
              <w:pStyle w:val="Compact"/>
              <w:jc w:val="left"/>
            </w:pPr>
            <w:r>
              <w:t xml:space="preserve">Pricing uncertainty; clients demand fixed-cost solutions</w:t>
            </w:r>
          </w:p>
        </w:tc>
        <w:tc>
          <w:tcPr/>
          <w:p>
            <w:pPr>
              <w:pStyle w:val="Compact"/>
              <w:jc w:val="left"/>
            </w:pPr>
            <w:r>
              <w:rPr>
                <w:bCs/>
                <w:b/>
              </w:rPr>
              <w:t xml:space="preserve">Price Lock Agreements:</w:t>
            </w:r>
            <w:r>
              <w:t xml:space="preserve"> </w:t>
            </w:r>
            <w:r>
              <w:t xml:space="preserve">12-month service contracts with price caps based on official exchange rate adjustments</w:t>
            </w:r>
          </w:p>
        </w:tc>
      </w:tr>
      <w:tr>
        <w:tc>
          <w:tcPr/>
          <w:p>
            <w:pPr>
              <w:pStyle w:val="Compact"/>
              <w:jc w:val="left"/>
            </w:pPr>
            <w:r>
              <w:t xml:space="preserve">Supply Chain Disruptions</w:t>
            </w:r>
          </w:p>
        </w:tc>
        <w:tc>
          <w:tcPr/>
          <w:p>
            <w:pPr>
              <w:pStyle w:val="Compact"/>
              <w:jc w:val="left"/>
            </w:pPr>
            <w:r>
              <w:t xml:space="preserve">3-6 week delays for imported medical devices</w:t>
            </w:r>
          </w:p>
        </w:tc>
        <w:tc>
          <w:tcPr/>
          <w:p>
            <w:pPr>
              <w:pStyle w:val="Compact"/>
              <w:jc w:val="left"/>
            </w:pPr>
            <w:r>
              <w:rPr>
                <w:bCs/>
                <w:b/>
              </w:rPr>
              <w:t xml:space="preserve">Local Sourcing Partnerships:</w:t>
            </w:r>
            <w:r>
              <w:t xml:space="preserve"> </w:t>
            </w:r>
            <w:r>
              <w:t xml:space="preserve">Collaborated with Caracas-based lab equipment manufacturers to cut delivery times by 45%</w:t>
            </w:r>
          </w:p>
        </w:tc>
      </w:tr>
    </w:tbl>
    <w:bookmarkEnd w:id="24"/>
    <w:bookmarkStart w:id="25" w:name="X65fa40748532c2f17c9bbe50b4ac207ba39fee6"/>
    <w:p>
      <w:pPr>
        <w:pStyle w:val="Heading2"/>
      </w:pPr>
      <w:r>
        <w:t xml:space="preserve">V. Regional Sales Performance: Caracas Micro-Market Breakdown</w:t>
      </w:r>
    </w:p>
    <w:p>
      <w:pPr>
        <w:pStyle w:val="FirstParagraph"/>
      </w:pPr>
      <w:r>
        <w:t xml:space="preserve">Caracas' geography directly influences Doctor General Practitioner service adoption:</w:t>
      </w:r>
    </w:p>
    <w:p>
      <w:pPr>
        <w:numPr>
          <w:ilvl w:val="0"/>
          <w:numId w:val="1002"/>
        </w:numPr>
        <w:pStyle w:val="Compact"/>
      </w:pPr>
      <w:r>
        <w:rPr>
          <w:bCs/>
          <w:b/>
        </w:rPr>
        <w:t xml:space="preserve">Northwest Districts (Chacao, Los Palos Grandes):</w:t>
      </w:r>
      <w:r>
        <w:t xml:space="preserve"> </w:t>
      </w:r>
      <w:r>
        <w:t xml:space="preserve">Highest revenue ($82,000) from premium telehealth bundles. GPs here prioritize digital transformation for wealthier patient demographics.</w:t>
      </w:r>
    </w:p>
    <w:p>
      <w:pPr>
        <w:numPr>
          <w:ilvl w:val="0"/>
          <w:numId w:val="1002"/>
        </w:numPr>
        <w:pStyle w:val="Compact"/>
      </w:pPr>
      <w:r>
        <w:rPr>
          <w:bCs/>
          <w:b/>
        </w:rPr>
        <w:t xml:space="preserve">Southeast Corridors (Petare, Santa Rosa):</w:t>
      </w:r>
      <w:r>
        <w:t xml:space="preserve"> </w:t>
      </w:r>
      <w:r>
        <w:t xml:space="preserve">37% of new clients acquired. Focus on low-cost diagnostic kits and mobile health units due to high population density and transport limitations.</w:t>
      </w:r>
    </w:p>
    <w:p>
      <w:pPr>
        <w:numPr>
          <w:ilvl w:val="0"/>
          <w:numId w:val="1002"/>
        </w:numPr>
        <w:pStyle w:val="Compact"/>
      </w:pPr>
      <w:r>
        <w:rPr>
          <w:bCs/>
          <w:b/>
        </w:rPr>
        <w:t xml:space="preserve">Eastern Outskirts (El Hatillo, Baruta):</w:t>
      </w:r>
      <w:r>
        <w:t xml:space="preserve"> </w:t>
      </w:r>
      <w:r>
        <w:t xml:space="preserve">Strong growth in preventive care packages (vaccinations, wellness screenings), reflecting rising middle-class demand for proactive services.</w:t>
      </w:r>
    </w:p>
    <w:bookmarkEnd w:id="25"/>
    <w:bookmarkStart w:id="26" w:name="Xcc4b16ab0d709ca5a7b80842da85d07e45f7633"/>
    <w:p>
      <w:pPr>
        <w:pStyle w:val="Heading2"/>
      </w:pPr>
      <w:r>
        <w:t xml:space="preserve">VI. Competitive Landscape &amp; Differentiation</w:t>
      </w:r>
    </w:p>
    <w:p>
      <w:pPr>
        <w:pStyle w:val="FirstParagraph"/>
      </w:pPr>
      <w:r>
        <w:t xml:space="preserve">Venezuela Caracas' GP service market features three key competitors:</w:t>
      </w:r>
    </w:p>
    <w:p>
      <w:pPr>
        <w:numPr>
          <w:ilvl w:val="0"/>
          <w:numId w:val="1003"/>
        </w:numPr>
        <w:pStyle w:val="Compact"/>
      </w:pPr>
      <w:r>
        <w:rPr>
          <w:bCs/>
          <w:b/>
        </w:rPr>
        <w:t xml:space="preserve">State Healthcare Providers:</w:t>
      </w:r>
      <w:r>
        <w:t xml:space="preserve"> </w:t>
      </w:r>
      <w:r>
        <w:t xml:space="preserve">Offer subsidized but unreliable services; no digital tools for GPs.</w:t>
      </w:r>
    </w:p>
    <w:p>
      <w:pPr>
        <w:numPr>
          <w:ilvl w:val="0"/>
          <w:numId w:val="1003"/>
        </w:numPr>
        <w:pStyle w:val="Compact"/>
      </w:pPr>
      <w:r>
        <w:rPr>
          <w:bCs/>
          <w:b/>
        </w:rPr>
        <w:t xml:space="preserve">International Pharma Chains:</w:t>
      </w:r>
      <w:r>
        <w:t xml:space="preserve"> </w:t>
      </w:r>
      <w:r>
        <w:t xml:space="preserve">Strong in medications but lack integrated clinic solutions.</w:t>
      </w:r>
    </w:p>
    <w:p>
      <w:pPr>
        <w:numPr>
          <w:ilvl w:val="0"/>
          <w:numId w:val="1003"/>
        </w:numPr>
        <w:pStyle w:val="Compact"/>
      </w:pPr>
      <w:r>
        <w:rPr>
          <w:bCs/>
          <w:b/>
        </w:rPr>
        <w:t xml:space="preserve">Our Differentiation:</w:t>
      </w:r>
    </w:p>
    <w:p>
      <w:pPr>
        <w:numPr>
          <w:ilvl w:val="1"/>
          <w:numId w:val="1004"/>
        </w:numPr>
        <w:pStyle w:val="Compact"/>
      </w:pPr>
      <w:r>
        <w:rPr>
          <w:iCs/>
          <w:i/>
        </w:rPr>
        <w:t xml:space="preserve">Unified Platform:</w:t>
      </w:r>
      <w:r>
        <w:t xml:space="preserve"> </w:t>
      </w:r>
      <w:r>
        <w:t xml:space="preserve">All-in-one solution (telemedicine, billing, inventory) reducing GP administrative burden by 32%</w:t>
      </w:r>
    </w:p>
    <w:p>
      <w:pPr>
        <w:numPr>
          <w:ilvl w:val="1"/>
          <w:numId w:val="1004"/>
        </w:numPr>
        <w:pStyle w:val="Compact"/>
      </w:pPr>
      <w:r>
        <w:rPr>
          <w:iCs/>
          <w:i/>
        </w:rPr>
        <w:t xml:space="preserve">Venezuela-Centric Support:</w:t>
      </w:r>
      <w:r>
        <w:t xml:space="preserve"> </w:t>
      </w:r>
      <w:r>
        <w:t xml:space="preserve">On-ground technicians trained in Caracas' infrastructure challenges (e.g., frequent power outages)</w:t>
      </w:r>
    </w:p>
    <w:p>
      <w:pPr>
        <w:numPr>
          <w:ilvl w:val="1"/>
          <w:numId w:val="1004"/>
        </w:numPr>
        <w:pStyle w:val="Compact"/>
      </w:pPr>
      <w:r>
        <w:rPr>
          <w:iCs/>
          <w:i/>
        </w:rPr>
        <w:t xml:space="preserve">Community Health Focus:</w:t>
      </w:r>
      <w:r>
        <w:t xml:space="preserve"> </w:t>
      </w:r>
      <w:r>
        <w:t xml:space="preserve">Programs linking GPs to public health campaigns (e.g., malaria prevention in vulnerable zones)</w:t>
      </w:r>
    </w:p>
    <w:bookmarkEnd w:id="26"/>
    <w:bookmarkStart w:id="27" w:name="vii.-recommendations-for-q4-2023-beyond"/>
    <w:p>
      <w:pPr>
        <w:pStyle w:val="Heading2"/>
      </w:pPr>
      <w:r>
        <w:t xml:space="preserve">VII. Recommendations for Q4 2023 &amp; Beyond</w:t>
      </w:r>
    </w:p>
    <w:p>
      <w:pPr>
        <w:pStyle w:val="FirstParagraph"/>
      </w:pPr>
      <w:r>
        <w:t xml:space="preserve">To sustain momentum in Venezuela Caracas, we recommend:</w:t>
      </w:r>
    </w:p>
    <w:p>
      <w:pPr>
        <w:numPr>
          <w:ilvl w:val="0"/>
          <w:numId w:val="1005"/>
        </w:numPr>
        <w:pStyle w:val="Compact"/>
      </w:pPr>
      <w:r>
        <w:rPr>
          <w:bCs/>
          <w:b/>
        </w:rPr>
        <w:t xml:space="preserve">Expand Mobile Health Units:</w:t>
      </w:r>
      <w:r>
        <w:t xml:space="preserve"> </w:t>
      </w:r>
      <w:r>
        <w:t xml:space="preserve">Deploy 8 additional units targeting underserved neighborhoods (e.g., Santa Cruz de Torrema), directly addressing the Doctor General Practitioner's need for extended reach.</w:t>
      </w:r>
    </w:p>
    <w:p>
      <w:pPr>
        <w:numPr>
          <w:ilvl w:val="0"/>
          <w:numId w:val="1005"/>
        </w:numPr>
        <w:pStyle w:val="Compact"/>
      </w:pPr>
      <w:r>
        <w:rPr>
          <w:bCs/>
          <w:b/>
        </w:rPr>
        <w:t xml:space="preserve">Launch "GP Resilience Fund":</w:t>
      </w:r>
      <w:r>
        <w:t xml:space="preserve"> </w:t>
      </w:r>
      <w:r>
        <w:t xml:space="preserve">Partner with local banks to offer microloans for critical equipment purchases, overcoming immediate cash constraints.</w:t>
      </w:r>
    </w:p>
    <w:p>
      <w:pPr>
        <w:numPr>
          <w:ilvl w:val="0"/>
          <w:numId w:val="1005"/>
        </w:numPr>
        <w:pStyle w:val="Compact"/>
      </w:pPr>
      <w:r>
        <w:rPr>
          <w:bCs/>
          <w:b/>
        </w:rPr>
        <w:t xml:space="preserve">Create Caracas-Specific Training:</w:t>
      </w:r>
      <w:r>
        <w:t xml:space="preserve"> </w:t>
      </w:r>
      <w:r>
        <w:t xml:space="preserve">Develop workshops on navigating Venezuela's healthcare bureaucracy (e.g., Ministry of Health documentation) – 79% of GPs cited this as a top operational pain point.</w:t>
      </w:r>
    </w:p>
    <w:p>
      <w:pPr>
        <w:numPr>
          <w:ilvl w:val="0"/>
          <w:numId w:val="1005"/>
        </w:numPr>
        <w:pStyle w:val="Compact"/>
      </w:pPr>
      <w:r>
        <w:rPr>
          <w:bCs/>
          <w:b/>
        </w:rPr>
        <w:t xml:space="preserve">Strengthen Local Partnerships:</w:t>
      </w:r>
      <w:r>
        <w:t xml:space="preserve"> </w:t>
      </w:r>
      <w:r>
        <w:t xml:space="preserve">Co-develop diagnostic tools with Caracas University's Medical School to ensure cultural and clinical relevance.</w:t>
      </w:r>
    </w:p>
    <w:bookmarkEnd w:id="27"/>
    <w:bookmarkStart w:id="28" w:name="viii.-conclusion"/>
    <w:p>
      <w:pPr>
        <w:pStyle w:val="Heading2"/>
      </w:pPr>
      <w:r>
        <w:t xml:space="preserve">VIII. Conclusion</w:t>
      </w:r>
    </w:p>
    <w:p>
      <w:pPr>
        <w:pStyle w:val="FirstParagraph"/>
      </w:pPr>
      <w:r>
        <w:t xml:space="preserve">The Venezuela Caracas market demands sales approaches rooted in deep understanding of the Doctor General Practitioner's reality. This Sales Report confirms that our value proposition – solutions designed for operational efficiency within Venezuela's economic constraints – is resonating powerfully. As the primary healthcare gateway for millions, GPs in Caracas aren't just clients; they are community health anchors whose success directly correlates with our market growth. With strategic adaptations to Venezuela's unique challenges, we project 18-20% revenue growth for Q4 2023 and position ourselves as the indispensable partner for every Doctor General Practitioner serving Venezuela Caracas. We stand ready to accelerate this mission through targeted resource allocation and unwavering commitment to local healthcare resilience.</w:t>
      </w:r>
    </w:p>
    <w:p>
      <w:r>
        <w:pict>
          <v:rect style="width:0;height:1.5pt" o:hralign="center" o:hrstd="t" o:hr="t"/>
        </w:pict>
      </w:r>
    </w:p>
    <w:p>
      <w:pPr>
        <w:pStyle w:val="FirstParagraph"/>
      </w:pPr>
      <w:r>
        <w:rPr>
          <w:iCs/>
          <w:i/>
        </w:rPr>
        <w:t xml:space="preserve">This report complies with all regulatory requirements under Venezuela's Ministry of Health (Resolution 1234/2023) for medical service provider documentation in Caracas. All financial figures converted using the official exchange rate as of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Venezuela Caracas</dc:title>
  <dc:creator/>
  <dc:language>en</dc:language>
  <cp:keywords/>
  <dcterms:created xsi:type="dcterms:W3CDTF">2026-07-23T16:47:26Z</dcterms:created>
  <dcterms:modified xsi:type="dcterms:W3CDTF">2026-07-23T16:47:26Z</dcterms:modified>
</cp:coreProperties>
</file>

<file path=docProps/custom.xml><?xml version="1.0" encoding="utf-8"?>
<Properties xmlns="http://schemas.openxmlformats.org/officeDocument/2006/custom-properties" xmlns:vt="http://schemas.openxmlformats.org/officeDocument/2006/docPropsVTypes"/>
</file>