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Engagement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7" w:name="X001896563a013ddd1ca52fd7b9d422954abf6f9"/>
    <w:p>
      <w:pPr>
        <w:pStyle w:val="Heading1"/>
      </w:pPr>
      <w:r>
        <w:t xml:space="preserve">Quarterly Sales Report: Doctor General Practitioner Engagement in Ho Chi Minh City (Q3 2023)</w:t>
      </w:r>
    </w:p>
    <w:bookmarkStart w:id="20" w:name="executive-summary"/>
    <w:p>
      <w:pPr>
        <w:pStyle w:val="Heading2"/>
      </w:pPr>
      <w:r>
        <w:t xml:space="preserve">Executive Summary</w:t>
      </w:r>
    </w:p>
    <w:p>
      <w:pPr>
        <w:pStyle w:val="FirstParagraph"/>
      </w:pPr>
      <w:r>
        <w:t xml:space="preserve">This report details the performance of our pharmaceutical and medical solutions sales initiatives targeting Doctor General Practitioners (GPs) across Ho Chi Minh City, Vietnam. The quarter demonstrated significant growth in market penetration, with a 18% year-over-year increase in prescriptions driven by targeted engagement strategies. Ho Chi Minh City remains the most critical commercial hub for healthcare solutions in Vietnam, representing 37% of our national GP-focused revenue. This report underscores how adaptive sales tactics aligned with the unique dynamics of General Practitioners operating within HCMC's dense urban healthcare ecosystem have directly contributed to our success.</w:t>
      </w:r>
    </w:p>
    <w:bookmarkEnd w:id="20"/>
    <w:bookmarkStart w:id="21" w:name="Xff78ff625157b856e9ad2f3ea915128fcb884a9"/>
    <w:p>
      <w:pPr>
        <w:pStyle w:val="Heading2"/>
      </w:pPr>
      <w:r>
        <w:t xml:space="preserve">Market Context: Ho Chi Minh City as the Healthcare Epicenter</w:t>
      </w:r>
    </w:p>
    <w:p>
      <w:pPr>
        <w:pStyle w:val="FirstParagraph"/>
      </w:pPr>
      <w:r>
        <w:t xml:space="preserve">Ho Chi Minh City (HCMC), Vietnam's largest metropolis with over 9 million residents and a rapidly expanding middle class, presents an unparalleled opportunity for healthcare providers. The city accounts for 45% of Vietnam's private healthcare facilities, including the majority of clinics staffed by Doctor General Practitioners. GPs form the frontline of primary care in HCMC's community health centers, private clinics (often operating under "Phòng Khám Đa Khoa" licenses), and corporate wellness programs. The urban density creates both intense competition and a concentrated market for effective sales strategies targeting these physicians. Our data shows that 68% of all primary care consultations in HCMC occur within GP-led practices, making them the decisive influencers for patient treatment pathways.</w:t>
      </w:r>
    </w:p>
    <w:bookmarkEnd w:id="21"/>
    <w:bookmarkStart w:id="22" w:name="key-sales-performance-metrics-hcmc-focus"/>
    <w:p>
      <w:pPr>
        <w:pStyle w:val="Heading2"/>
      </w:pPr>
      <w:r>
        <w:t xml:space="preserve">Key Sales Performance Metrics (HCMC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Change (%)</w:t>
            </w:r>
          </w:p>
        </w:tc>
      </w:tr>
      <w:tr>
        <w:tc>
          <w:tcPr/>
          <w:p>
            <w:pPr>
              <w:pStyle w:val="Compact"/>
              <w:jc w:val="left"/>
            </w:pPr>
            <w:r>
              <w:t xml:space="preserve">New Doctor General Practitioner Onboarded (HCMC)</w:t>
            </w:r>
          </w:p>
        </w:tc>
        <w:tc>
          <w:tcPr/>
          <w:p>
            <w:pPr>
              <w:pStyle w:val="Compact"/>
              <w:jc w:val="left"/>
            </w:pPr>
            <w:r>
              <w:t xml:space="preserve">87</w:t>
            </w:r>
          </w:p>
        </w:tc>
        <w:tc>
          <w:tcPr/>
          <w:p>
            <w:pPr>
              <w:pStyle w:val="Compact"/>
              <w:jc w:val="left"/>
            </w:pPr>
            <w:r>
              <w:t xml:space="preserve">69</w:t>
            </w:r>
          </w:p>
        </w:tc>
        <w:tc>
          <w:tcPr/>
          <w:p>
            <w:pPr>
              <w:pStyle w:val="Compact"/>
              <w:jc w:val="left"/>
            </w:pPr>
            <w:r>
              <w:t xml:space="preserve">+26.1%</w:t>
            </w:r>
          </w:p>
        </w:tc>
      </w:tr>
      <w:tr>
        <w:tc>
          <w:tcPr/>
          <w:p>
            <w:pPr>
              <w:pStyle w:val="Compact"/>
              <w:jc w:val="left"/>
            </w:pPr>
            <w:r>
              <w:t xml:space="preserve">Patient Consultations with GP-Prescribed Products</w:t>
            </w:r>
          </w:p>
        </w:tc>
        <w:tc>
          <w:tcPr/>
          <w:p>
            <w:pPr>
              <w:pStyle w:val="Compact"/>
              <w:jc w:val="left"/>
            </w:pPr>
            <w:r>
              <w:t xml:space="preserve">142,500</w:t>
            </w:r>
          </w:p>
        </w:tc>
        <w:tc>
          <w:tcPr/>
          <w:p>
            <w:pPr>
              <w:pStyle w:val="Compact"/>
              <w:jc w:val="left"/>
            </w:pPr>
            <w:r>
              <w:t xml:space="preserve">117,800</w:t>
            </w:r>
          </w:p>
        </w:tc>
        <w:tc>
          <w:tcPr/>
          <w:p>
            <w:pPr>
              <w:pStyle w:val="Compact"/>
              <w:jc w:val="left"/>
            </w:pPr>
            <w:r>
              <w:t xml:space="preserve">+20.9%</w:t>
            </w:r>
          </w:p>
        </w:tc>
      </w:tr>
      <w:tr>
        <w:tc>
          <w:tcPr/>
          <w:p>
            <w:pPr>
              <w:pStyle w:val="Compact"/>
              <w:jc w:val="left"/>
            </w:pPr>
            <w:r>
              <w:t xml:space="preserve">Sales Revenue from GP Networks (HCMC)</w:t>
            </w:r>
          </w:p>
        </w:tc>
        <w:tc>
          <w:tcPr/>
          <w:p>
            <w:pPr>
              <w:pStyle w:val="Compact"/>
              <w:jc w:val="left"/>
            </w:pPr>
            <w:r>
              <w:t xml:space="preserve">VND 78.2 billion</w:t>
            </w:r>
          </w:p>
        </w:tc>
        <w:tc>
          <w:tcPr/>
          <w:p>
            <w:pPr>
              <w:pStyle w:val="Compact"/>
              <w:jc w:val="left"/>
            </w:pPr>
            <w:r>
              <w:t xml:space="preserve">VND 66.3 billion</w:t>
            </w:r>
          </w:p>
        </w:tc>
        <w:tc>
          <w:tcPr/>
          <w:p>
            <w:pPr>
              <w:pStyle w:val="Compact"/>
              <w:jc w:val="left"/>
            </w:pPr>
            <w:r>
              <w:t xml:space="preserve">+18.0%</w:t>
            </w:r>
          </w:p>
        </w:tc>
      </w:tr>
      <w:tr>
        <w:tc>
          <w:tcPr/>
          <w:p>
            <w:pPr>
              <w:pStyle w:val="Compact"/>
              <w:jc w:val="left"/>
            </w:pPr>
            <w:r>
              <w:t xml:space="preserve">GP Engagement Rate (Digital &amp; In-Person)</w:t>
            </w:r>
          </w:p>
        </w:tc>
        <w:tc>
          <w:tcPr/>
          <w:p>
            <w:pPr>
              <w:pStyle w:val="Compact"/>
              <w:jc w:val="left"/>
            </w:pPr>
            <w:r>
              <w:t xml:space="preserve">42%</w:t>
            </w:r>
          </w:p>
        </w:tc>
        <w:tc>
          <w:tcPr/>
          <w:p>
            <w:pPr>
              <w:pStyle w:val="Compact"/>
              <w:jc w:val="left"/>
            </w:pPr>
            <w:r>
              <w:t xml:space="preserve">35%</w:t>
            </w:r>
          </w:p>
        </w:tc>
        <w:tc>
          <w:tcPr/>
          <w:p>
            <w:pPr>
              <w:pStyle w:val="Compact"/>
              <w:jc w:val="left"/>
            </w:pPr>
            <w:r>
              <w:t xml:space="preserve">+7 pts</w:t>
            </w:r>
          </w:p>
        </w:tc>
      </w:tr>
    </w:tbl>
    <w:bookmarkEnd w:id="22"/>
    <w:bookmarkStart w:id="23" w:name="Xc69d9b74cfc7c3a91224df5eab6d51dbc7d3e00"/>
    <w:p>
      <w:pPr>
        <w:pStyle w:val="Heading2"/>
      </w:pPr>
      <w:r>
        <w:t xml:space="preserve">Tactical Success: Targeting the Doctor General Practitioner in HCMC</w:t>
      </w:r>
    </w:p>
    <w:p>
      <w:pPr>
        <w:pStyle w:val="FirstParagraph"/>
      </w:pPr>
      <w:r>
        <w:t xml:space="preserve">The success in Ho Chi Minh City stems from a hyper-localized approach to engaging Doctor General Practitioners. Recognizing that GPs here face unique pressures—including high patient volume (averaging 40+ patients/day), limited administrative support, and the need for rapid diagnostic decisions—we developed tailored value propositions:</w:t>
      </w:r>
    </w:p>
    <w:p>
      <w:pPr>
        <w:numPr>
          <w:ilvl w:val="0"/>
          <w:numId w:val="1001"/>
        </w:numPr>
        <w:pStyle w:val="Compact"/>
      </w:pPr>
      <w:r>
        <w:rPr>
          <w:bCs/>
          <w:b/>
        </w:rPr>
        <w:t xml:space="preserve">Time-Efficient Digital Tools:</w:t>
      </w:r>
      <w:r>
        <w:t xml:space="preserve"> </w:t>
      </w:r>
      <w:r>
        <w:t xml:space="preserve">Implementation of our "GP CareLink" mobile app within HCMC clinics reduced prescription documentation time by 35%. This was prioritized as a key differentiator for GPs in bustling District 1 and District 3 practices.</w:t>
      </w:r>
    </w:p>
    <w:p>
      <w:pPr>
        <w:numPr>
          <w:ilvl w:val="0"/>
          <w:numId w:val="1001"/>
        </w:numPr>
        <w:pStyle w:val="Compact"/>
      </w:pPr>
      <w:r>
        <w:rPr>
          <w:bCs/>
          <w:b/>
        </w:rPr>
        <w:t xml:space="preserve">Clinical Support Over Sales Pitch:</w:t>
      </w:r>
      <w:r>
        <w:t xml:space="preserve"> </w:t>
      </w:r>
      <w:r>
        <w:t xml:space="preserve">Training sales representatives to function as clinical partners, not just vendors. In Q3, reps conducted 220+ "Clinical Quick-Check" sessions at HCMC clinics (e.g., addressing hypertension management protocols), directly improving GP confidence in our products.</w:t>
      </w:r>
    </w:p>
    <w:p>
      <w:pPr>
        <w:numPr>
          <w:ilvl w:val="0"/>
          <w:numId w:val="1001"/>
        </w:numPr>
        <w:pStyle w:val="Compact"/>
      </w:pPr>
      <w:r>
        <w:rPr>
          <w:bCs/>
          <w:b/>
        </w:rPr>
        <w:t xml:space="preserve">Localized Product Formulations:</w:t>
      </w:r>
      <w:r>
        <w:t xml:space="preserve"> </w:t>
      </w:r>
      <w:r>
        <w:t xml:space="preserve">Launching a Vietnamese-language patient compliance kit for chronic disease management, specifically requested by GPs at major community health centers like those near Nguyen Trai Street and Ben Thanh Market.</w:t>
      </w:r>
    </w:p>
    <w:p>
      <w:pPr>
        <w:numPr>
          <w:ilvl w:val="0"/>
          <w:numId w:val="1001"/>
        </w:numPr>
        <w:pStyle w:val="Compact"/>
      </w:pPr>
      <w:r>
        <w:rPr>
          <w:bCs/>
          <w:b/>
        </w:rPr>
        <w:t xml:space="preserve">Strategic Partnership with HCMC Health Department:</w:t>
      </w:r>
      <w:r>
        <w:t xml:space="preserve"> </w:t>
      </w:r>
      <w:r>
        <w:t xml:space="preserve">Co-hosting a "Primary Care Innovation Workshop" for Doctor General Practitioners across 5 districts. This leveraged government credibility to build trust, attended by 147 GPs from key HCMC practice networks.</w:t>
      </w:r>
    </w:p>
    <w:bookmarkEnd w:id="23"/>
    <w:bookmarkStart w:id="24" w:name="Xfb1c84cc71c73835b7a60b2644f7f87373ecc23"/>
    <w:p>
      <w:pPr>
        <w:pStyle w:val="Heading2"/>
      </w:pPr>
      <w:r>
        <w:t xml:space="preserve">Challenges in the Ho Chi Minh City Market</w:t>
      </w:r>
    </w:p>
    <w:p>
      <w:pPr>
        <w:pStyle w:val="FirstParagraph"/>
      </w:pPr>
      <w:r>
        <w:t xml:space="preserve">Despite strong results, significant hurdles persist for sales teams targeting Doctor General Practitioners in HCMC. The city's intense competition for GP attention requires constant innovation:</w:t>
      </w:r>
    </w:p>
    <w:p>
      <w:pPr>
        <w:numPr>
          <w:ilvl w:val="0"/>
          <w:numId w:val="1002"/>
        </w:numPr>
        <w:pStyle w:val="Compact"/>
      </w:pPr>
      <w:r>
        <w:rPr>
          <w:bCs/>
          <w:b/>
        </w:rPr>
        <w:t xml:space="preserve">Fragmented Practice Landscape:</w:t>
      </w:r>
      <w:r>
        <w:t xml:space="preserve"> </w:t>
      </w:r>
      <w:r>
        <w:t xml:space="preserve">Over 60% of Doctor General Practitioners operate solo or small clinics (5-10 staff) in HCMC, making consistent engagement logistically challenging. Our sales team now uses a tiered approach: premium support for high-volume clinics (e.g., "Saigon Medical Hub"), streamlined digital tools for micro-clinics.</w:t>
      </w:r>
    </w:p>
    <w:p>
      <w:pPr>
        <w:numPr>
          <w:ilvl w:val="0"/>
          <w:numId w:val="1002"/>
        </w:numPr>
        <w:pStyle w:val="Compact"/>
      </w:pPr>
      <w:r>
        <w:rPr>
          <w:bCs/>
          <w:b/>
        </w:rPr>
        <w:t xml:space="preserve">Regulatory Nuances:</w:t>
      </w:r>
      <w:r>
        <w:t xml:space="preserve"> </w:t>
      </w:r>
      <w:r>
        <w:t xml:space="preserve">Navigating Ho Chi Minh City's specific healthcare regulations (e.g., requirements for drug sample distribution at district-level) demands continuous training. Our compliance officer held 4 mandatory HCMC-specific workshops this quarter.</w:t>
      </w:r>
    </w:p>
    <w:p>
      <w:pPr>
        <w:numPr>
          <w:ilvl w:val="0"/>
          <w:numId w:val="1002"/>
        </w:numPr>
        <w:pStyle w:val="Compact"/>
      </w:pPr>
      <w:r>
        <w:rPr>
          <w:bCs/>
          <w:b/>
        </w:rPr>
        <w:t xml:space="preserve">Competition from Local Brands:</w:t>
      </w:r>
      <w:r>
        <w:t xml:space="preserve"> </w:t>
      </w:r>
      <w:r>
        <w:t xml:space="preserve">Vietnamese generic manufacturers aggressively target GPs in HCMC with lower-priced alternatives. Our counter-strategy emphasized clinical data and patient outcomes, resulting in a 12% higher retention rate for our premium solutions among HCMC GPs compared to national average.</w:t>
      </w:r>
    </w:p>
    <w:bookmarkEnd w:id="24"/>
    <w:bookmarkStart w:id="25" w:name="strategic-recommendations-for-q4-2023"/>
    <w:p>
      <w:pPr>
        <w:pStyle w:val="Heading2"/>
      </w:pPr>
      <w:r>
        <w:t xml:space="preserve">Strategic Recommendations for Q4 2023</w:t>
      </w:r>
    </w:p>
    <w:p>
      <w:pPr>
        <w:pStyle w:val="FirstParagraph"/>
      </w:pPr>
      <w:r>
        <w:t xml:space="preserve">To sustain momentum in Ho Chi Minh City's GP market, we recommend:</w:t>
      </w:r>
    </w:p>
    <w:p>
      <w:pPr>
        <w:numPr>
          <w:ilvl w:val="0"/>
          <w:numId w:val="1003"/>
        </w:numPr>
        <w:pStyle w:val="Compact"/>
      </w:pPr>
      <w:r>
        <w:rPr>
          <w:bCs/>
          <w:b/>
        </w:rPr>
        <w:t xml:space="preserve">Expand "GP Hub" Program:</w:t>
      </w:r>
      <w:r>
        <w:t xml:space="preserve"> </w:t>
      </w:r>
      <w:r>
        <w:t xml:space="preserve">Establish dedicated support centers in HCMC's key districts (District 1, 3, 5) offering same-day technical assistance for Doctor General Practitioners' digital tools.</w:t>
      </w:r>
    </w:p>
    <w:p>
      <w:pPr>
        <w:numPr>
          <w:ilvl w:val="0"/>
          <w:numId w:val="1003"/>
        </w:numPr>
        <w:pStyle w:val="Compact"/>
      </w:pPr>
      <w:r>
        <w:rPr>
          <w:bCs/>
          <w:b/>
        </w:rPr>
        <w:t xml:space="preserve">Develop HCMC-Specific Disease Focus:</w:t>
      </w:r>
      <w:r>
        <w:t xml:space="preserve"> </w:t>
      </w:r>
      <w:r>
        <w:t xml:space="preserve">Target prevalent local health concerns like dengue fever and diabetes management with integrated GP education materials for HCMC clinics.</w:t>
      </w:r>
    </w:p>
    <w:p>
      <w:pPr>
        <w:numPr>
          <w:ilvl w:val="0"/>
          <w:numId w:val="1003"/>
        </w:numPr>
        <w:pStyle w:val="Compact"/>
      </w:pPr>
      <w:r>
        <w:rPr>
          <w:bCs/>
          <w:b/>
        </w:rPr>
        <w:t xml:space="preserve">Leverage Data Analytics:</w:t>
      </w:r>
      <w:r>
        <w:t xml:space="preserve"> </w:t>
      </w:r>
      <w:r>
        <w:t xml:space="preserve">Implement predictive analytics to forecast GP prescription patterns in high-density areas like District 10 and Binh Thanh, optimizing inventory and sales rep coverage.</w:t>
      </w:r>
    </w:p>
    <w:p>
      <w:pPr>
        <w:numPr>
          <w:ilvl w:val="0"/>
          <w:numId w:val="1003"/>
        </w:numPr>
        <w:pStyle w:val="Compact"/>
      </w:pPr>
      <w:r>
        <w:rPr>
          <w:bCs/>
          <w:b/>
        </w:rPr>
        <w:t xml:space="preserve">Strengthen Community Ties:</w:t>
      </w:r>
      <w:r>
        <w:t xml:space="preserve"> </w:t>
      </w:r>
      <w:r>
        <w:t xml:space="preserve">Sponsor local health awareness events (e.g., "HCMC Health Walks") co-hosted with Doctor General Practitioners to build community trust beyond the clinic door.</w:t>
      </w:r>
    </w:p>
    <w:bookmarkEnd w:id="25"/>
    <w:bookmarkStart w:id="26" w:name="X3852a6a5b2152f56d664c2ebbc1d2f399339d3c"/>
    <w:p>
      <w:pPr>
        <w:pStyle w:val="Heading2"/>
      </w:pPr>
      <w:r>
        <w:t xml:space="preserve">Conclusion: The HCMC GP Market as a Growth Catalyst</w:t>
      </w:r>
    </w:p>
    <w:p>
      <w:pPr>
        <w:pStyle w:val="FirstParagraph"/>
      </w:pPr>
      <w:r>
        <w:t xml:space="preserve">The Ho Chi Minh City market continues to prove that understanding the specific context of the Doctor General Practitioner is paramount to sales success in Vietnam. Our Q3 results—driven by genuine clinical partnership, hyper-local adaptation, and respect for the GP's unique operational reality within this megacity—demonstrate a clear path forward. The 18% revenue growth from HCMC GPs directly fuels our national expansion strategy. As the demand for accessible primary care surges in Vietnam's most dynamic city, the relationship between healthcare providers and sales teams must evolve from transactional to transformative. By embedding our solutions within the daily workflow of Doctor General Practitioners across Ho Chi Minh City, we are not just selling products; we are enabling better patient outcomes where they matter most—on the frontlines of community health in Vietnam's economic heartland.</w:t>
      </w:r>
    </w:p>
    <w:p>
      <w:pPr>
        <w:pStyle w:val="BodyText"/>
      </w:pPr>
      <w:r>
        <w:rPr>
          <w:bCs/>
          <w:b/>
        </w:rPr>
        <w:t xml:space="preserve">Report Prepared For:</w:t>
      </w:r>
      <w:r>
        <w:t xml:space="preserve"> </w:t>
      </w:r>
      <w:r>
        <w:t xml:space="preserve">National Sales Leadership, Vietnam Operations |</w:t>
      </w:r>
      <w:r>
        <w:t xml:space="preserve"> </w:t>
      </w:r>
      <w:r>
        <w:rPr>
          <w:bCs/>
          <w:b/>
        </w:rPr>
        <w:t xml:space="preserve">Date:</w:t>
      </w:r>
      <w:r>
        <w:t xml:space="preserve"> </w:t>
      </w:r>
      <w:r>
        <w:t xml:space="preserve">October 26, 2023 |</w:t>
      </w:r>
      <w:r>
        <w:t xml:space="preserve"> </w:t>
      </w: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Doctor General Practitioner Engagement in Ho Chi Minh City</dc:title>
  <dc:creator/>
  <dc:language>en</dc:language>
  <cp:keywords/>
  <dcterms:created xsi:type="dcterms:W3CDTF">2026-07-24T15:46:36Z</dcterms:created>
  <dcterms:modified xsi:type="dcterms:W3CDTF">2026-07-24T15:46:36Z</dcterms:modified>
</cp:coreProperties>
</file>

<file path=docProps/custom.xml><?xml version="1.0" encoding="utf-8"?>
<Properties xmlns="http://schemas.openxmlformats.org/officeDocument/2006/custom-properties" xmlns:vt="http://schemas.openxmlformats.org/officeDocument/2006/docPropsVTypes"/>
</file>