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Argentina</w:t>
      </w:r>
      <w:r>
        <w:t xml:space="preserve"> </w:t>
      </w:r>
      <w:r>
        <w:t xml:space="preserve">Córdoba</w:t>
      </w:r>
    </w:p>
    <w:bookmarkStart w:id="31" w:name="X6d0f4aa51892a213aaa81ff78614923f376e97f"/>
    <w:p>
      <w:pPr>
        <w:pStyle w:val="Heading1"/>
      </w:pPr>
      <w:r>
        <w:t xml:space="preserve">Quarterly Sales Report: The Economist in Argentina Córdoba</w:t>
      </w:r>
    </w:p>
    <w:p>
      <w:pPr>
        <w:pStyle w:val="FirstParagraph"/>
      </w:pPr>
      <w:r>
        <w:rPr>
          <w:bCs/>
          <w:b/>
        </w:rPr>
        <w:t xml:space="preserve">Prepared For:</w:t>
      </w:r>
      <w:r>
        <w:t xml:space="preserve"> </w:t>
      </w:r>
      <w:r>
        <w:t xml:space="preserve">The Economist Global Management</w:t>
      </w:r>
    </w:p>
    <w:p>
      <w:pPr>
        <w:pStyle w:val="BodyText"/>
      </w:pPr>
      <w:r>
        <w:rPr>
          <w:bCs/>
          <w:b/>
        </w:rPr>
        <w:t xml:space="preserve">Report Period:</w:t>
      </w:r>
      <w:r>
        <w:t xml:space="preserve"> </w:t>
      </w:r>
      <w:r>
        <w:t xml:space="preserve">Q3 2023 (July 1 - September 30, 2023)</w:t>
      </w:r>
    </w:p>
    <w:p>
      <w:pPr>
        <w:pStyle w:val="BodyText"/>
      </w:pPr>
      <w:r>
        <w:rPr>
          <w:bCs/>
          <w:b/>
        </w:rPr>
        <w:t xml:space="preserve">Region Focus:</w:t>
      </w:r>
      <w:r>
        <w:t xml:space="preserve"> </w:t>
      </w:r>
      <w:r>
        <w:t xml:space="preserve">Córdoba Province, Argentina</w:t>
      </w:r>
    </w:p>
    <w:p>
      <w:pPr>
        <w:pStyle w:val="BodyText"/>
      </w:pPr>
      <w:r>
        <w:rPr>
          <w:bCs/>
          <w:b/>
        </w:rPr>
        <w:t xml:space="preserve">Date Prepared:</w:t>
      </w:r>
      <w:r>
        <w:t xml:space="preserve"> </w:t>
      </w:r>
      <w:r>
        <w:t xml:space="preserve">October 15, 2023</w:t>
      </w:r>
    </w:p>
    <w:bookmarkStart w:id="20" w:name="executive-summary"/>
    <w:p>
      <w:pPr>
        <w:pStyle w:val="Heading2"/>
      </w:pPr>
      <w:r>
        <w:t xml:space="preserve">Executive Summary</w:t>
      </w:r>
    </w:p>
    <w:p>
      <w:pPr>
        <w:pStyle w:val="FirstParagraph"/>
      </w:pPr>
      <w:r>
        <w:t xml:space="preserve">The Economist's sales performance in Argentina's Córdoba province demonstrated resilient growth during Q3 2023, reflecting strong regional demand for high-impact economic analysis amid Argentina's complex macroeconomic landscape. Despite national currency volatility and inflationary pressures, Córdoba emerged as our most promising market outside Buenos Aires, with subscription growth reaching 14.7% year-over-year. This report details key sales metrics, competitive positioning within Argentina's media ecosystem, and strategic recommendations for sustained expansion in Córdoba.</w:t>
      </w:r>
    </w:p>
    <w:p>
      <w:pPr>
        <w:pStyle w:val="BodyText"/>
      </w:pPr>
      <w:r>
        <w:rPr>
          <w:bCs/>
          <w:b/>
        </w:rPr>
        <w:t xml:space="preserve">Top Three Highlights:</w:t>
      </w:r>
    </w:p>
    <w:p>
      <w:pPr>
        <w:numPr>
          <w:ilvl w:val="0"/>
          <w:numId w:val="1001"/>
        </w:numPr>
        <w:pStyle w:val="Compact"/>
      </w:pPr>
      <w:r>
        <w:rPr>
          <w:bCs/>
          <w:b/>
        </w:rPr>
        <w:t xml:space="preserve">Subscription Growth:</w:t>
      </w:r>
      <w:r>
        <w:t xml:space="preserve"> </w:t>
      </w:r>
      <w:r>
        <w:t xml:space="preserve">14.7% YoY increase in paid subscriptions within Córdoba, outperforming national average (8.2%)</w:t>
      </w:r>
    </w:p>
    <w:p>
      <w:pPr>
        <w:numPr>
          <w:ilvl w:val="0"/>
          <w:numId w:val="1001"/>
        </w:numPr>
        <w:pStyle w:val="Compact"/>
      </w:pPr>
      <w:r>
        <w:rPr>
          <w:bCs/>
          <w:b/>
        </w:rPr>
        <w:t xml:space="preserve">Digital Dominance:</w:t>
      </w:r>
      <w:r>
        <w:t xml:space="preserve"> </w:t>
      </w:r>
      <w:r>
        <w:t xml:space="preserve">76% of new subscribers chose digital-only access, signaling shifting consumption habits</w:t>
      </w:r>
    </w:p>
    <w:p>
      <w:pPr>
        <w:numPr>
          <w:ilvl w:val="0"/>
          <w:numId w:val="1001"/>
        </w:numPr>
        <w:pStyle w:val="Compact"/>
      </w:pPr>
      <w:r>
        <w:rPr>
          <w:bCs/>
          <w:b/>
        </w:rPr>
        <w:t xml:space="preserve">University Partnerships:</w:t>
      </w:r>
      <w:r>
        <w:t xml:space="preserve"> </w:t>
      </w:r>
      <w:r>
        <w:t xml:space="preserve">Strategic agreements with Universidad Nacional de Córdoba and Universidad Católica Argentina driving 32% of new institutional subscriptions</w:t>
      </w:r>
    </w:p>
    <w:bookmarkEnd w:id="20"/>
    <w:bookmarkStart w:id="21" w:name="Xe7465edbbb22a645cbd854aa8eace54347a629a"/>
    <w:p>
      <w:pPr>
        <w:pStyle w:val="Heading2"/>
      </w:pPr>
      <w:r>
        <w:t xml:space="preserve">Current Sales Performance: Argentina Córdoba Market</w:t>
      </w:r>
    </w:p>
    <w:p>
      <w:pPr>
        <w:pStyle w:val="FirstParagraph"/>
      </w:pPr>
      <w:r>
        <w:t xml:space="preserve">The Economist's market share in Córdoba has increased from 18.3% to 21.6% since Q1 2023, driven by targeted content addressing regional economic challenges. Our sales team achieved the following key metrics in the province: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 QoQ</w:t>
            </w:r>
          </w:p>
        </w:tc>
      </w:tr>
      <w:tr>
        <w:tc>
          <w:tcPr/>
          <w:p>
            <w:pPr>
              <w:pStyle w:val="Compact"/>
              <w:jc w:val="left"/>
            </w:pPr>
            <w:r>
              <w:t xml:space="preserve">Total Subscribers (Córdoba)</w:t>
            </w:r>
          </w:p>
        </w:tc>
        <w:tc>
          <w:tcPr/>
          <w:p>
            <w:pPr>
              <w:pStyle w:val="Compact"/>
              <w:jc w:val="left"/>
            </w:pPr>
            <w:r>
              <w:t xml:space="preserve">4,850</w:t>
            </w:r>
          </w:p>
        </w:tc>
        <w:tc>
          <w:tcPr/>
          <w:p>
            <w:pPr>
              <w:pStyle w:val="Compact"/>
              <w:jc w:val="left"/>
            </w:pPr>
            <w:r>
              <w:t xml:space="preserve">4,490</w:t>
            </w:r>
          </w:p>
        </w:tc>
        <w:tc>
          <w:tcPr/>
          <w:p>
            <w:pPr>
              <w:pStyle w:val="Compact"/>
              <w:jc w:val="left"/>
            </w:pPr>
            <w:r>
              <w:t xml:space="preserve">+8.0%</w:t>
            </w:r>
          </w:p>
        </w:tc>
      </w:tr>
      <w:tr>
        <w:tc>
          <w:tcPr/>
          <w:p>
            <w:pPr>
              <w:pStyle w:val="Compact"/>
              <w:jc w:val="left"/>
            </w:pPr>
            <w:r>
              <w:t xml:space="preserve">New Subscriptions</w:t>
            </w:r>
          </w:p>
        </w:tc>
        <w:tc>
          <w:tcPr/>
          <w:p>
            <w:pPr>
              <w:pStyle w:val="Compact"/>
              <w:jc w:val="left"/>
            </w:pPr>
            <w:r>
              <w:t xml:space="preserve">312</w:t>
            </w:r>
          </w:p>
        </w:tc>
        <w:tc>
          <w:tcPr/>
          <w:p>
            <w:pPr>
              <w:pStyle w:val="Compact"/>
              <w:jc w:val="left"/>
            </w:pPr>
            <w:r>
              <w:t xml:space="preserve">271</w:t>
            </w:r>
          </w:p>
        </w:tc>
        <w:tc>
          <w:tcPr/>
          <w:p>
            <w:pPr>
              <w:pStyle w:val="Compact"/>
              <w:jc w:val="left"/>
            </w:pPr>
            <w:r>
              <w:t xml:space="preserve">+15.1%</w:t>
            </w:r>
          </w:p>
        </w:tc>
      </w:tr>
      <w:tr>
        <w:tc>
          <w:tcPr/>
          <w:p>
            <w:pPr>
              <w:pStyle w:val="Compact"/>
              <w:jc w:val="left"/>
            </w:pPr>
            <w:r>
              <w:t xml:space="preserve">Digital Subscriptions (% of Total)</w:t>
            </w:r>
          </w:p>
        </w:tc>
        <w:tc>
          <w:tcPr/>
          <w:p>
            <w:pPr>
              <w:pStyle w:val="Compact"/>
              <w:jc w:val="left"/>
            </w:pPr>
            <w:r>
              <w:t xml:space="preserve">76.2%</w:t>
            </w:r>
          </w:p>
        </w:tc>
        <w:tc>
          <w:tcPr/>
          <w:p>
            <w:pPr>
              <w:pStyle w:val="Compact"/>
              <w:jc w:val="left"/>
            </w:pPr>
            <w:r>
              <w:t xml:space="preserve">70.5%</w:t>
            </w:r>
          </w:p>
        </w:tc>
        <w:tc>
          <w:tcPr/>
          <w:p>
            <w:pPr>
              <w:pStyle w:val="Compact"/>
              <w:jc w:val="left"/>
            </w:pPr>
            <w:r>
              <w:t xml:space="preserve">+5.7 pts</w:t>
            </w:r>
          </w:p>
        </w:tc>
      </w:tr>
      <w:tr>
        <w:tc>
          <w:tcPr/>
          <w:p>
            <w:pPr>
              <w:pStyle w:val="Compact"/>
              <w:jc w:val="left"/>
            </w:pPr>
            <w:r>
              <w:t xml:space="preserve">Institutional Sales (Universities/Corporates)</w:t>
            </w:r>
          </w:p>
        </w:tc>
        <w:tc>
          <w:tcPr/>
          <w:p>
            <w:pPr>
              <w:pStyle w:val="Compact"/>
              <w:jc w:val="left"/>
            </w:pPr>
            <w:r>
              <w:t xml:space="preserve">$18,400</w:t>
            </w:r>
          </w:p>
        </w:tc>
        <w:tc>
          <w:tcPr/>
          <w:p>
            <w:pPr>
              <w:pStyle w:val="Compact"/>
              <w:jc w:val="left"/>
            </w:pPr>
            <w:r>
              <w:t xml:space="preserve">$15,200</w:t>
            </w:r>
          </w:p>
        </w:tc>
        <w:tc>
          <w:tcPr/>
          <w:p>
            <w:pPr>
              <w:pStyle w:val="Compact"/>
              <w:jc w:val="left"/>
            </w:pPr>
            <w:r>
              <w:t xml:space="preserve">+21.1%</w:t>
            </w:r>
          </w:p>
        </w:tc>
      </w:tr>
      <w:tr>
        <w:tc>
          <w:tcPr/>
          <w:p>
            <w:pPr>
              <w:pStyle w:val="Compact"/>
              <w:jc w:val="left"/>
            </w:pPr>
            <w:r>
              <w:t xml:space="preserve">Renewal Rate</w:t>
            </w:r>
          </w:p>
        </w:tc>
        <w:tc>
          <w:tcPr/>
          <w:p>
            <w:pPr>
              <w:pStyle w:val="Compact"/>
              <w:jc w:val="left"/>
            </w:pPr>
            <w:r>
              <w:t xml:space="preserve">83.4%</w:t>
            </w:r>
          </w:p>
        </w:tc>
        <w:tc>
          <w:tcPr/>
          <w:p>
            <w:pPr>
              <w:pStyle w:val="Compact"/>
              <w:jc w:val="left"/>
            </w:pPr>
            <w:r>
              <w:t xml:space="preserve">79.6%</w:t>
            </w:r>
          </w:p>
        </w:tc>
        <w:tc>
          <w:tcPr/>
          <w:p>
            <w:pPr>
              <w:pStyle w:val="Compact"/>
              <w:jc w:val="left"/>
            </w:pPr>
            <w:r>
              <w:t xml:space="preserve">+3.8 pts</w:t>
            </w:r>
          </w:p>
        </w:tc>
      </w:tr>
    </w:tbl>
    <w:bookmarkEnd w:id="21"/>
    <w:bookmarkStart w:id="24" w:name="Xa23906c14ed7676e862dc85b2797add09984db1"/>
    <w:p>
      <w:pPr>
        <w:pStyle w:val="Heading2"/>
      </w:pPr>
      <w:r>
        <w:t xml:space="preserve">Market Analysis: Argentina's Córdoba Context</w:t>
      </w:r>
    </w:p>
    <w:p>
      <w:pPr>
        <w:pStyle w:val="FirstParagraph"/>
      </w:pPr>
      <w:r>
        <w:t xml:space="preserve">Córdoba represents 11% of Argentina's total GDP and serves as the nation's economic engine outside Buenos Aires. Our sales data reveals that 68% of Córdoba subscribers are business professionals (compared to national average of 54%), with significant representation from automotive manufacturing, agribusiness, and technology sectors – industries directly impacted by Argentina's ongoing currency stabilization efforts.</w:t>
      </w:r>
    </w:p>
    <w:bookmarkStart w:id="22" w:name="competitive-landscape"/>
    <w:p>
      <w:pPr>
        <w:pStyle w:val="Heading3"/>
      </w:pPr>
      <w:r>
        <w:t xml:space="preserve">Competitive Landscape</w:t>
      </w:r>
    </w:p>
    <w:p>
      <w:pPr>
        <w:pStyle w:val="FirstParagraph"/>
      </w:pPr>
      <w:r>
        <w:t xml:space="preserve">While traditional Argentine newspapers like Clarín and La Nación maintain broad circulation in Córdoba (2.1M combined), they lack The Economist's analytical depth on global economic forces affecting local industries. Our competitive advantage is clear: 89% of surveyed subscribers cited "unique international perspective" as the primary reason for choosing The Economist over local alternatives. However, we face growing competition from digital-only financial newsletters targeting Córdoba's startup ecosystem.</w:t>
      </w:r>
    </w:p>
    <w:bookmarkEnd w:id="22"/>
    <w:bookmarkStart w:id="23" w:name="regional-economic-drivers"/>
    <w:p>
      <w:pPr>
        <w:pStyle w:val="Heading3"/>
      </w:pPr>
      <w:r>
        <w:t xml:space="preserve">Regional Economic Drivers</w:t>
      </w:r>
    </w:p>
    <w:p>
      <w:pPr>
        <w:pStyle w:val="FirstParagraph"/>
      </w:pPr>
      <w:r>
        <w:t xml:space="preserve">Córdoba's economic resilience in 2023 (4.1% GDP growth vs national average of 1.8%) created ideal conditions for our sales strategy. Key factors driving demand include:</w:t>
      </w:r>
    </w:p>
    <w:p>
      <w:pPr>
        <w:numPr>
          <w:ilvl w:val="0"/>
          <w:numId w:val="1002"/>
        </w:numPr>
        <w:pStyle w:val="Compact"/>
      </w:pPr>
      <w:r>
        <w:rPr>
          <w:bCs/>
          <w:b/>
        </w:rPr>
        <w:t xml:space="preserve">Automotive Boom:</w:t>
      </w:r>
      <w:r>
        <w:t xml:space="preserve"> </w:t>
      </w:r>
      <w:r>
        <w:t xml:space="preserve">Ford and Fiat Chrysler's investments in Córdoba manufacturing facilities increased demand for global supply chain analysis</w:t>
      </w:r>
    </w:p>
    <w:p>
      <w:pPr>
        <w:numPr>
          <w:ilvl w:val="0"/>
          <w:numId w:val="1002"/>
        </w:numPr>
        <w:pStyle w:val="Compact"/>
      </w:pPr>
      <w:r>
        <w:rPr>
          <w:bCs/>
          <w:b/>
        </w:rPr>
        <w:t xml:space="preserve">Agricultural Exports:</w:t>
      </w:r>
      <w:r>
        <w:t xml:space="preserve"> </w:t>
      </w:r>
      <w:r>
        <w:t xml:space="preserve">Record soybean harvests generated interest in international trade policy coverage</w:t>
      </w:r>
    </w:p>
    <w:p>
      <w:pPr>
        <w:numPr>
          <w:ilvl w:val="0"/>
          <w:numId w:val="1002"/>
        </w:numPr>
        <w:pStyle w:val="Compact"/>
      </w:pPr>
      <w:r>
        <w:rPr>
          <w:bCs/>
          <w:b/>
        </w:rPr>
        <w:t xml:space="preserve">Educational Institutions:</w:t>
      </w:r>
      <w:r>
        <w:t xml:space="preserve"> </w:t>
      </w:r>
      <w:r>
        <w:t xml:space="preserve">Córdoba's university enrollment (150,000 students) created institutional subscription opportunities through academic partnerships</w:t>
      </w:r>
    </w:p>
    <w:bookmarkEnd w:id="23"/>
    <w:bookmarkEnd w:id="24"/>
    <w:bookmarkStart w:id="25" w:name="Xa011cb67d4231ddf296f3f80c2fd8e772b417fd"/>
    <w:p>
      <w:pPr>
        <w:pStyle w:val="Heading2"/>
      </w:pPr>
      <w:r>
        <w:t xml:space="preserve">Challenges Specific to Argentina Córdoba Market</w:t>
      </w:r>
    </w:p>
    <w:p>
      <w:pPr>
        <w:pStyle w:val="FirstParagraph"/>
      </w:pPr>
      <w:r>
        <w:t xml:space="preserve">Despite strong growth, three persistent challenges require strategic intervention:</w:t>
      </w:r>
      <w:r>
        <w:t xml:space="preserve"> </w:t>
      </w:r>
      <w:r>
        <w:rPr>
          <w:bCs/>
          <w:b/>
        </w:rPr>
        <w:t xml:space="preserve">1. Currency Volatility Impact:</w:t>
      </w:r>
      <w:r>
        <w:t xml:space="preserve"> </w:t>
      </w:r>
      <w:r>
        <w:t xml:space="preserve">The 78% annual inflation rate in Argentina causes subscription price sensitivity. While The Economist's digital-only pricing ($90 USD annually) remains stable, local currency conversion creates perceived cost increases for subscribers using ARS (Argentine Peso). We've implemented a localized pricing tier (ARS 12,500/year) to mitigate this, though it reduces revenue per subscriber by 18%.</w:t>
      </w:r>
    </w:p>
    <w:p>
      <w:pPr>
        <w:pStyle w:val="BodyText"/>
      </w:pPr>
      <w:r>
        <w:rPr>
          <w:bCs/>
          <w:b/>
        </w:rPr>
        <w:t xml:space="preserve">2. Regional Distribution Complexity:</w:t>
      </w:r>
      <w:r>
        <w:t xml:space="preserve"> </w:t>
      </w:r>
      <w:r>
        <w:t xml:space="preserve">Unlike Buenos Aires with centralized delivery systems, Córdoba's geographic spread (763km north-south) increases physical magazine distribution costs by 42% compared to the capital. This has slowed our print subscription growth despite strong demand.</w:t>
      </w:r>
    </w:p>
    <w:p>
      <w:pPr>
        <w:pStyle w:val="BodyText"/>
      </w:pPr>
      <w:r>
        <w:rPr>
          <w:bCs/>
          <w:b/>
        </w:rPr>
        <w:t xml:space="preserve">3. Content Relevance Gap:</w:t>
      </w:r>
      <w:r>
        <w:t xml:space="preserve"> </w:t>
      </w:r>
      <w:r>
        <w:t xml:space="preserve">Initial subscriber surveys revealed that 34% of Córdoba readers wanted more localized economic analysis. While we publish regular Argentina-focused articles, they're often buried in broader regional reports, reducing perceived relevance for local decision-makers.</w:t>
      </w:r>
    </w:p>
    <w:bookmarkEnd w:id="25"/>
    <w:bookmarkStart w:id="29" w:name="growth-strategy-recommendations"/>
    <w:p>
      <w:pPr>
        <w:pStyle w:val="Heading2"/>
      </w:pPr>
      <w:r>
        <w:t xml:space="preserve">Growth Strategy Recommendations</w:t>
      </w:r>
    </w:p>
    <w:p>
      <w:pPr>
        <w:pStyle w:val="FirstParagraph"/>
      </w:pPr>
      <w:r>
        <w:t xml:space="preserve">To capitalize on Córdoba's growth potential, we propose the following targeted initiatives:</w:t>
      </w:r>
    </w:p>
    <w:bookmarkStart w:id="26" w:name="content-localization-initiative"/>
    <w:p>
      <w:pPr>
        <w:pStyle w:val="Heading3"/>
      </w:pPr>
      <w:r>
        <w:t xml:space="preserve">Content Localization Initiative</w:t>
      </w:r>
    </w:p>
    <w:p>
      <w:pPr>
        <w:pStyle w:val="FirstParagraph"/>
      </w:pPr>
      <w:r>
        <w:t xml:space="preserve">Launch "Córdoba Economic Brief" – a dedicated monthly digital supplement featuring:</w:t>
      </w:r>
    </w:p>
    <w:p>
      <w:pPr>
        <w:numPr>
          <w:ilvl w:val="0"/>
          <w:numId w:val="1003"/>
        </w:numPr>
        <w:pStyle w:val="Compact"/>
      </w:pPr>
      <w:r>
        <w:t xml:space="preserve">Analysis of local automotive sector export trends</w:t>
      </w:r>
    </w:p>
    <w:p>
      <w:pPr>
        <w:numPr>
          <w:ilvl w:val="0"/>
          <w:numId w:val="1003"/>
        </w:numPr>
        <w:pStyle w:val="Compact"/>
      </w:pPr>
      <w:r>
        <w:t xml:space="preserve">Soybean market pricing with global comparison tables</w:t>
      </w:r>
    </w:p>
    <w:p>
      <w:pPr>
        <w:numPr>
          <w:ilvl w:val="0"/>
          <w:numId w:val="1003"/>
        </w:numPr>
        <w:pStyle w:val="Compact"/>
      </w:pPr>
      <w:r>
        <w:t xml:space="preserve">Impact assessments of national policies on Córdoba's agro-industry</w:t>
      </w:r>
    </w:p>
    <w:bookmarkEnd w:id="26"/>
    <w:bookmarkStart w:id="27" w:name="digital-subscription-incentives"/>
    <w:p>
      <w:pPr>
        <w:pStyle w:val="Heading3"/>
      </w:pPr>
      <w:r>
        <w:t xml:space="preserve">Digital Subscription Incentives</w:t>
      </w:r>
    </w:p>
    <w:p>
      <w:pPr>
        <w:pStyle w:val="FirstParagraph"/>
      </w:pPr>
      <w:r>
        <w:t xml:space="preserve">Introduce a "Córdoba Community Plan" offering:</w:t>
      </w:r>
    </w:p>
    <w:p>
      <w:pPr>
        <w:numPr>
          <w:ilvl w:val="0"/>
          <w:numId w:val="1004"/>
        </w:numPr>
        <w:pStyle w:val="Compact"/>
      </w:pPr>
      <w:r>
        <w:t xml:space="preserve">Premium access to local economic data visualizations (exclusive to Córdoba subscribers)</w:t>
      </w:r>
    </w:p>
    <w:p>
      <w:pPr>
        <w:numPr>
          <w:ilvl w:val="0"/>
          <w:numId w:val="1004"/>
        </w:numPr>
        <w:pStyle w:val="Compact"/>
      </w:pPr>
      <w:r>
        <w:t xml:space="preserve">Quarterly virtual roundtables with Córdoba-based economists (e.g., Universidad Nacional de Córdoba professors)</w:t>
      </w:r>
    </w:p>
    <w:p>
      <w:pPr>
        <w:numPr>
          <w:ilvl w:val="0"/>
          <w:numId w:val="1004"/>
        </w:numPr>
        <w:pStyle w:val="Compact"/>
      </w:pPr>
      <w:r>
        <w:t xml:space="preserve">Discounted team subscriptions for businesses within the province</w:t>
      </w:r>
    </w:p>
    <w:bookmarkEnd w:id="27"/>
    <w:bookmarkStart w:id="28" w:name="strategic-partnership-expansion"/>
    <w:p>
      <w:pPr>
        <w:pStyle w:val="Heading3"/>
      </w:pPr>
      <w:r>
        <w:t xml:space="preserve">Strategic Partnership Expansion</w:t>
      </w:r>
    </w:p>
    <w:p>
      <w:pPr>
        <w:pStyle w:val="FirstParagraph"/>
      </w:pPr>
      <w:r>
        <w:t xml:space="preserve">Cultivate deeper relationships with:</w:t>
      </w:r>
    </w:p>
    <w:p>
      <w:pPr>
        <w:numPr>
          <w:ilvl w:val="0"/>
          <w:numId w:val="1005"/>
        </w:numPr>
        <w:pStyle w:val="Compact"/>
      </w:pPr>
      <w:r>
        <w:rPr>
          <w:bCs/>
          <w:b/>
        </w:rPr>
        <w:t xml:space="preserve">Asociación de Industriales de Córdoba (AIC):</w:t>
      </w:r>
      <w:r>
        <w:t xml:space="preserve"> </w:t>
      </w:r>
      <w:r>
        <w:t xml:space="preserve">Co-hosted executive briefings on Argentina's manufacturing outlook</w:t>
      </w:r>
    </w:p>
    <w:p>
      <w:pPr>
        <w:numPr>
          <w:ilvl w:val="0"/>
          <w:numId w:val="1005"/>
        </w:numPr>
        <w:pStyle w:val="Compact"/>
      </w:pPr>
      <w:r>
        <w:rPr>
          <w:bCs/>
          <w:b/>
        </w:rPr>
        <w:t xml:space="preserve">Córdoba Chamber of Commerce:</w:t>
      </w:r>
      <w:r>
        <w:t xml:space="preserve"> </w:t>
      </w:r>
      <w:r>
        <w:t xml:space="preserve">Exclusive content for member businesses at reduced rates</w:t>
      </w:r>
    </w:p>
    <w:p>
      <w:pPr>
        <w:numPr>
          <w:ilvl w:val="0"/>
          <w:numId w:val="1005"/>
        </w:numPr>
        <w:pStyle w:val="Compact"/>
      </w:pPr>
      <w:r>
        <w:rPr>
          <w:bCs/>
          <w:b/>
        </w:rPr>
        <w:t xml:space="preserve">Tech Hubs (e.g., Parque Tecnológico Córdoba):</w:t>
      </w:r>
      <w:r>
        <w:t xml:space="preserve"> </w:t>
      </w:r>
      <w:r>
        <w:t xml:space="preserve">Targeted digital subscriptions for startup founders</w:t>
      </w:r>
    </w:p>
    <w:bookmarkEnd w:id="28"/>
    <w:bookmarkEnd w:id="29"/>
    <w:bookmarkStart w:id="30" w:name="Xc6b270494653e09c78d7f977bac375a33b7cc03"/>
    <w:p>
      <w:pPr>
        <w:pStyle w:val="Heading2"/>
      </w:pPr>
      <w:r>
        <w:t xml:space="preserve">Conclusion: The Economist's Strategic Position in Argentina Córdoba</w:t>
      </w:r>
    </w:p>
    <w:p>
      <w:pPr>
        <w:pStyle w:val="FirstParagraph"/>
      </w:pPr>
      <w:r>
        <w:t xml:space="preserve">The Economist's sales performance in Argentina's Córdoba province demonstrates remarkable resilience within one of Latin America's most dynamic regional economies. Our 14.7% YoY subscription growth confirms that sophisticated economic analysis has clear commercial value for business leaders navigating Argentina's complex market environment. The region represents not merely a geographic market, but a strategic proving ground for our global brand in emerging economies.</w:t>
      </w:r>
    </w:p>
    <w:p>
      <w:pPr>
        <w:pStyle w:val="BodyText"/>
      </w:pPr>
      <w:r>
        <w:t xml:space="preserve">As we enter Q4 2023, the focus must shift from growth acquisition to premiumization – converting our expanding subscriber base into high-value institutional and corporate accounts. With Córdoba's economy poised for continued growth (projected 5.1% expansion in 2024), The Economist is uniquely positioned to become the essential economic intelligence partner for this vital Argentine region. We recommend allocating 15% of our regional marketing budget to Córdoba-specific initiatives, with a target of achieving 28% market share within the province by Q3 2024.</w:t>
      </w:r>
    </w:p>
    <w:p>
      <w:pPr>
        <w:pStyle w:val="BodyText"/>
      </w:pPr>
      <w:r>
        <w:t xml:space="preserve">As evidenced throughout this Sales Report, Argentina's Córdoba market exemplifies how The Economist can deliver exceptional value through hyper-relevant economic insights – transforming from a global publication into an indispensable regional business tool. This success story in Latin America will serve as the blueprint for our expansion across other emerging markets.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The Economist in Argentina Córdoba</dc:title>
  <dc:creator/>
  <dc:language>en</dc:language>
  <cp:keywords/>
  <dcterms:created xsi:type="dcterms:W3CDTF">2026-07-24T00:26:25Z</dcterms:created>
  <dcterms:modified xsi:type="dcterms:W3CDTF">2026-07-24T00:26:25Z</dcterms:modified>
</cp:coreProperties>
</file>

<file path=docProps/custom.xml><?xml version="1.0" encoding="utf-8"?>
<Properties xmlns="http://schemas.openxmlformats.org/officeDocument/2006/custom-properties" xmlns:vt="http://schemas.openxmlformats.org/officeDocument/2006/docPropsVTypes"/>
</file>