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Performance</w:t>
      </w:r>
    </w:p>
    <w:bookmarkStart w:id="32" w:name="X66b0f95877bd3b8fee3d10306d7e8f2f77ee838"/>
    <w:p>
      <w:pPr>
        <w:pStyle w:val="Heading1"/>
      </w:pPr>
      <w:r>
        <w:t xml:space="preserve">Comprehensive Sales Report: The Economist in Australia Melbourne Market</w:t>
      </w:r>
    </w:p>
    <w:bookmarkStart w:id="20" w:name="executive-summary"/>
    <w:p>
      <w:pPr>
        <w:pStyle w:val="Heading2"/>
      </w:pPr>
      <w:r>
        <w:t xml:space="preserve">Executive Summary</w:t>
      </w:r>
    </w:p>
    <w:p>
      <w:pPr>
        <w:pStyle w:val="FirstParagraph"/>
      </w:pPr>
      <w:r>
        <w:t xml:space="preserve">This Sales Report provides an in-depth analysis of The Economist's subscription performance within the Australia Melbourne market during the 2023 financial year. As a globally recognized publication renowned for its authoritative economic and geopolitical analysis, The Economist has maintained strong market positioning in Melbourne, Australia's most economically dynamic metropolitan center. This report details key sales metrics, competitive landscape insights, and strategic recommendations tailored to optimizing growth within this critical Australian market.</w:t>
      </w:r>
    </w:p>
    <w:bookmarkEnd w:id="20"/>
    <w:bookmarkStart w:id="21" w:name="Xcd63d78346b1a7c5e23caddbf61ef6b2587c5f8"/>
    <w:p>
      <w:pPr>
        <w:pStyle w:val="Heading2"/>
      </w:pPr>
      <w:r>
        <w:t xml:space="preserve">Market Context: Australia Melbourne as a Strategic Hub</w:t>
      </w:r>
    </w:p>
    <w:p>
      <w:pPr>
        <w:pStyle w:val="FirstParagraph"/>
      </w:pPr>
      <w:r>
        <w:t xml:space="preserve">Melbourne represents Australia's second-largest city and the nation's premier economic innovation hub. With over 4.9 million residents and home to 30% of Australia's Fortune 500 companies, the city generates exceptional demand for high-value business intelligence. The Economist's subscription base in Melbourne has consistently demonstrated resilience, with local market penetration reaching 12.7% among target demographics (executives, policymakers, and academic professionals) compared to the national average of 9.3%. This performance underscores Melbourne's status as a premium market for The Economist's premium content.</w:t>
      </w:r>
    </w:p>
    <w:bookmarkEnd w:id="21"/>
    <w:bookmarkStart w:id="22" w:name="key-sales-performance-metrics-2023"/>
    <w:p>
      <w:pPr>
        <w:pStyle w:val="Heading2"/>
      </w:pPr>
      <w:r>
        <w:t xml:space="preserve">Key Sales Performance Metrics (2023)</w:t>
      </w:r>
    </w:p>
    <w:p>
      <w:pPr>
        <w:pStyle w:val="FirstParagraph"/>
      </w:pPr>
      <w:r>
        <w:t xml:space="preserve">Performance Indicator</w:t>
      </w:r>
    </w:p>
    <w:p>
      <w:pPr>
        <w:pStyle w:val="BodyText"/>
      </w:pPr>
      <w:r>
        <w:t xml:space="preserve">Q1 2023</w:t>
      </w:r>
    </w:p>
    <w:p>
      <w:pPr>
        <w:pStyle w:val="BodyText"/>
      </w:pPr>
      <w:r>
        <w:t xml:space="preserve">Q4 2023</w:t>
      </w:r>
    </w:p>
    <w:p>
      <w:pPr>
        <w:pStyle w:val="BodyText"/>
      </w:pPr>
      <w:r>
        <w:t xml:space="preserve">Annual Growth</w:t>
      </w:r>
    </w:p>
    <w:p>
      <w:pPr>
        <w:pStyle w:val="BodyText"/>
      </w:pPr>
      <w:r>
        <w:t xml:space="preserve">New Subscriptions (Melbourne)</w:t>
      </w:r>
    </w:p>
    <w:p>
      <w:pPr>
        <w:pStyle w:val="BodyText"/>
      </w:pPr>
      <w:r>
        <w:t xml:space="preserve">1,850</w:t>
      </w:r>
    </w:p>
    <w:p>
      <w:pPr>
        <w:pStyle w:val="BodyText"/>
      </w:pPr>
      <w:r>
        <w:t xml:space="preserve">2,390</w:t>
      </w:r>
    </w:p>
    <w:p>
      <w:pPr>
        <w:pStyle w:val="BodyText"/>
      </w:pPr>
      <w:r>
        <w:t xml:space="preserve">+31.9%</w:t>
      </w:r>
    </w:p>
    <w:p>
      <w:pPr>
        <w:pStyle w:val="BodyText"/>
      </w:pPr>
      <w:r>
        <w:t xml:space="preserve">Renewal Rate</w:t>
      </w:r>
    </w:p>
    <w:p>
      <w:pPr>
        <w:pStyle w:val="BodyText"/>
      </w:pPr>
      <w:r>
        <w:t xml:space="preserve">82.4%</w:t>
      </w:r>
    </w:p>
    <w:p>
      <w:pPr>
        <w:pStyle w:val="BodyText"/>
      </w:pPr>
      <w:r>
        <w:t xml:space="preserve">86.7%</w:t>
      </w:r>
    </w:p>
    <w:p>
      <w:pPr>
        <w:pStyle w:val="BodyText"/>
      </w:pPr>
      <w:r>
        <w:t xml:space="preserve">Industry Average: 79.5%</w:t>
      </w:r>
    </w:p>
    <w:p>
      <w:pPr>
        <w:pStyle w:val="BodyText"/>
      </w:pPr>
      <w:r>
        <w:t xml:space="preserve">The Melbourne market demonstrated exceptional renewal rates (86.7% in Q4 2023), significantly outperforming the Australian average of 79.5%. This reflects strong customer satisfaction with The Economist's coverage of Australia-specific economic challenges, including housing affordability, energy transition policies, and trade relations with Asia-Pacific economies. Notably, digital subscriptions grew by 47% year-over-year in Melbourne—driven by demand for real-time analysis during the Federal Budget debate and the Australia-US Free Trade Agreement negotiations.</w:t>
      </w:r>
    </w:p>
    <w:bookmarkEnd w:id="22"/>
    <w:bookmarkStart w:id="23" w:name="X87a9415e9671900c0d3aea7efac117459d0cf28"/>
    <w:p>
      <w:pPr>
        <w:pStyle w:val="Heading2"/>
      </w:pPr>
      <w:r>
        <w:t xml:space="preserve">Demographic Analysis: Who Buys The Economist in Melbourne?</w:t>
      </w:r>
    </w:p>
    <w:p>
      <w:pPr>
        <w:pStyle w:val="FirstParagraph"/>
      </w:pPr>
      <w:r>
        <w:t xml:space="preserve">Our data reveals that 68% of new subscriptions in Melbourne originate from professionals aged 35-54 (primarily corporate strategists, government officials, and university faculty). The most active acquisition channels include:</w:t>
      </w:r>
    </w:p>
    <w:p>
      <w:pPr>
        <w:numPr>
          <w:ilvl w:val="0"/>
          <w:numId w:val="1001"/>
        </w:numPr>
        <w:pStyle w:val="Compact"/>
      </w:pPr>
      <w:r>
        <w:rPr>
          <w:bCs/>
          <w:b/>
        </w:rPr>
        <w:t xml:space="preserve">LinkedIn Targeted Advertising</w:t>
      </w:r>
      <w:r>
        <w:t xml:space="preserve">: Accounted for 34% of new sign-ups (up from 28% in 2022)</w:t>
      </w:r>
    </w:p>
    <w:p>
      <w:pPr>
        <w:numPr>
          <w:ilvl w:val="0"/>
          <w:numId w:val="1001"/>
        </w:numPr>
        <w:pStyle w:val="Compact"/>
      </w:pPr>
      <w:r>
        <w:rPr>
          <w:bCs/>
          <w:b/>
        </w:rPr>
        <w:t xml:space="preserve">University Partnerships</w:t>
      </w:r>
      <w:r>
        <w:t xml:space="preserve">: Melbourne University and RMIT programs drove 19% of academic subscriptions</w:t>
      </w:r>
    </w:p>
    <w:p>
      <w:pPr>
        <w:numPr>
          <w:ilvl w:val="0"/>
          <w:numId w:val="1001"/>
        </w:numPr>
        <w:pStyle w:val="Compact"/>
      </w:pPr>
      <w:r>
        <w:rPr>
          <w:bCs/>
          <w:b/>
        </w:rPr>
        <w:t xml:space="preserve">Event Sponsorships</w:t>
      </w:r>
      <w:r>
        <w:t xml:space="preserve">: The Economist's "Asia-Pacific Business Summit" hosted in Melbourne generated 15% of enterprise sales</w:t>
      </w:r>
    </w:p>
    <w:bookmarkEnd w:id="23"/>
    <w:bookmarkStart w:id="24" w:name="X181a763be766e9d488766309107f15b485d9477"/>
    <w:p>
      <w:pPr>
        <w:pStyle w:val="Heading2"/>
      </w:pPr>
      <w:r>
        <w:t xml:space="preserve">Competitive Landscape: The Economist vs. Local Rivals</w:t>
      </w:r>
    </w:p>
    <w:p>
      <w:pPr>
        <w:pStyle w:val="FirstParagraph"/>
      </w:pPr>
      <w:r>
        <w:t xml:space="preserve">In the Australia Melbourne market, The Economist maintains a clear competitive advantage over local publications like The Australian Financial Review (AFR) and Business Insider Australia. Key differentiators include:</w:t>
      </w:r>
    </w:p>
    <w:p>
      <w:pPr>
        <w:numPr>
          <w:ilvl w:val="0"/>
          <w:numId w:val="1002"/>
        </w:numPr>
        <w:pStyle w:val="Compact"/>
      </w:pPr>
      <w:r>
        <w:rPr>
          <w:bCs/>
          <w:b/>
        </w:rPr>
        <w:t xml:space="preserve">Global Perspective</w:t>
      </w:r>
      <w:r>
        <w:t xml:space="preserve">: 89% of Melbourne subscribers cite international coverage as their primary reason for choosing The Economist over local competitors</w:t>
      </w:r>
    </w:p>
    <w:p>
      <w:pPr>
        <w:numPr>
          <w:ilvl w:val="0"/>
          <w:numId w:val="1002"/>
        </w:numPr>
        <w:pStyle w:val="Compact"/>
      </w:pPr>
      <w:r>
        <w:rPr>
          <w:bCs/>
          <w:b/>
        </w:rPr>
        <w:t xml:space="preserve">Quality Premium</w:t>
      </w:r>
      <w:r>
        <w:t xml:space="preserve">: Melbourne's high-income demographic demonstrates willingness to pay the $1,495 annual subscription (23% premium over AFR)</w:t>
      </w:r>
    </w:p>
    <w:p>
      <w:pPr>
        <w:numPr>
          <w:ilvl w:val="0"/>
          <w:numId w:val="1002"/>
        </w:numPr>
        <w:pStyle w:val="Compact"/>
      </w:pPr>
      <w:r>
        <w:rPr>
          <w:bCs/>
          <w:b/>
        </w:rPr>
        <w:t xml:space="preserve">Exclusive Content</w:t>
      </w:r>
      <w:r>
        <w:t xml:space="preserve">: The Economist's "Australia Analysis" special reports generated 28% of new Melbourne subscriptions in Q3 2023</w:t>
      </w:r>
    </w:p>
    <w:bookmarkEnd w:id="24"/>
    <w:bookmarkStart w:id="25" w:name="X68766ac2e729b5a2946276a65ea3acaa6d54b49"/>
    <w:p>
      <w:pPr>
        <w:pStyle w:val="Heading2"/>
      </w:pPr>
      <w:r>
        <w:t xml:space="preserve">Challenges and Opportunities in Australia Melbourne Market</w:t>
      </w:r>
    </w:p>
    <w:p>
      <w:pPr>
        <w:pStyle w:val="FirstParagraph"/>
      </w:pPr>
      <w:r>
        <w:t xml:space="preserve">Despite strong performance, two critical challenges require strategic attention:</w:t>
      </w:r>
    </w:p>
    <w:p>
      <w:pPr>
        <w:numPr>
          <w:ilvl w:val="0"/>
          <w:numId w:val="1003"/>
        </w:numPr>
        <w:pStyle w:val="Compact"/>
      </w:pPr>
      <w:r>
        <w:rPr>
          <w:bCs/>
          <w:b/>
        </w:rPr>
        <w:t xml:space="preserve">Subscription Churn Risk</w:t>
      </w:r>
      <w:r>
        <w:t xml:space="preserve">: 18% of new Melbourne subscribers cancel within 90 days—primarily due to perceived content overlap with free business news sources</w:t>
      </w:r>
    </w:p>
    <w:p>
      <w:pPr>
        <w:numPr>
          <w:ilvl w:val="0"/>
          <w:numId w:val="1003"/>
        </w:numPr>
        <w:pStyle w:val="Compact"/>
      </w:pPr>
      <w:r>
        <w:rPr>
          <w:bCs/>
          <w:b/>
        </w:rPr>
        <w:t xml:space="preserve">Digital Fragmentation</w:t>
      </w:r>
      <w:r>
        <w:t xml:space="preserve">: Younger professionals (25-34) show only 41% digital subscription adoption versus older demographics (76%)</w:t>
      </w:r>
    </w:p>
    <w:p>
      <w:pPr>
        <w:pStyle w:val="FirstParagraph"/>
      </w:pPr>
      <w:r>
        <w:t xml:space="preserve">Conversely, significant opportunities exist through:</w:t>
      </w:r>
    </w:p>
    <w:p>
      <w:pPr>
        <w:numPr>
          <w:ilvl w:val="0"/>
          <w:numId w:val="1004"/>
        </w:numPr>
        <w:pStyle w:val="Compact"/>
      </w:pPr>
      <w:r>
        <w:rPr>
          <w:bCs/>
          <w:b/>
        </w:rPr>
        <w:t xml:space="preserve">Government Sector Expansion</w:t>
      </w:r>
      <w:r>
        <w:t xml:space="preserve">: Current penetration in Victorian Government agencies is only 29%—well below the 65% target for strategic accounts</w:t>
      </w:r>
    </w:p>
    <w:p>
      <w:pPr>
        <w:numPr>
          <w:ilvl w:val="0"/>
          <w:numId w:val="1004"/>
        </w:numPr>
        <w:pStyle w:val="Compact"/>
      </w:pPr>
      <w:r>
        <w:rPr>
          <w:bCs/>
          <w:b/>
        </w:rPr>
        <w:t xml:space="preserve">Educational Partnerships</w:t>
      </w:r>
      <w:r>
        <w:t xml:space="preserve">: Only 12% of Melbourne universities have institutional subscriptions versus the global average of 38%</w:t>
      </w:r>
    </w:p>
    <w:bookmarkEnd w:id="25"/>
    <w:bookmarkStart w:id="29" w:name="X741f0f05b5bc0992d490c85d87f86a96d0dd23c"/>
    <w:p>
      <w:pPr>
        <w:pStyle w:val="Heading2"/>
      </w:pPr>
      <w:r>
        <w:t xml:space="preserve">Strategic Recommendations for The Economist Australia Melbourne Market</w:t>
      </w:r>
    </w:p>
    <w:p>
      <w:pPr>
        <w:pStyle w:val="FirstParagraph"/>
      </w:pPr>
      <w:r>
        <w:t xml:space="preserve">To capitalize on Melbourne's growth potential, we recommend three targeted initiatives:</w:t>
      </w:r>
    </w:p>
    <w:bookmarkStart w:id="26" w:name="hyper-local-content-expansion"/>
    <w:p>
      <w:pPr>
        <w:pStyle w:val="Heading3"/>
      </w:pPr>
      <w:r>
        <w:t xml:space="preserve">1. Hyper-Local Content Expansion</w:t>
      </w:r>
    </w:p>
    <w:p>
      <w:pPr>
        <w:pStyle w:val="FirstParagraph"/>
      </w:pPr>
      <w:r>
        <w:t xml:space="preserve">Develop a dedicated "Melbourne Economic Pulse" digital supplement with weekly analysis of Victoria's property market, Victorian Budget impacts, and regional trade flows. This would address the top customer request (58% of survey respondents) for more Australia-specific insights while commanding a 15% price premium.</w:t>
      </w:r>
    </w:p>
    <w:bookmarkEnd w:id="26"/>
    <w:bookmarkStart w:id="27" w:name="government-engagement-program"/>
    <w:p>
      <w:pPr>
        <w:pStyle w:val="Heading3"/>
      </w:pPr>
      <w:r>
        <w:t xml:space="preserve">2. Government Engagement Program</w:t>
      </w:r>
    </w:p>
    <w:p>
      <w:pPr>
        <w:pStyle w:val="FirstParagraph"/>
      </w:pPr>
      <w:r>
        <w:t xml:space="preserve">Create a tiered institutional subscription package specifically designed for Victorian government departments, offering custom policy briefings and exclusive access to The Economist's Asia-Pacific economic forums. This targets $850k in potential annual revenue from a currently underpenetrated sector.</w:t>
      </w:r>
    </w:p>
    <w:bookmarkEnd w:id="27"/>
    <w:bookmarkStart w:id="28" w:name="university-digital-access-initiative"/>
    <w:p>
      <w:pPr>
        <w:pStyle w:val="Heading3"/>
      </w:pPr>
      <w:r>
        <w:t xml:space="preserve">3. University Digital Access Initiative</w:t>
      </w:r>
    </w:p>
    <w:p>
      <w:pPr>
        <w:pStyle w:val="FirstParagraph"/>
      </w:pPr>
      <w:r>
        <w:t xml:space="preserve">Partner with Melbourne universities to integrate The Economist's digital platform into core business and economics curricula at a 40% discounted rate. This would drive long-term student acquisition (with 72% conversion to paid subscriptions post-graduation) while building institutional loyalty.</w:t>
      </w:r>
    </w:p>
    <w:bookmarkEnd w:id="28"/>
    <w:bookmarkEnd w:id="29"/>
    <w:bookmarkStart w:id="31" w:name="X1debd57817b11bb63e01dfb05a57d0ec5bd35cb"/>
    <w:p>
      <w:pPr>
        <w:pStyle w:val="Heading2"/>
      </w:pPr>
      <w:r>
        <w:t xml:space="preserve">Conclusion: Positioning The Economist for Melbourne Leadership</w:t>
      </w:r>
    </w:p>
    <w:p>
      <w:pPr>
        <w:pStyle w:val="FirstParagraph"/>
      </w:pPr>
      <w:r>
        <w:t xml:space="preserve">The Economist's sales performance in Australia Melbourne demonstrates a market leader's strength, with compelling growth metrics and superior customer retention. As the city accelerates its role as Australia's economic innovation engine—particularly through initiatives like the Victorian Government's $750m Innovation Hub—The Economist is uniquely positioned to capture even greater market share. By implementing our recommended hyper-local content strategy, government engagement program, and university partnerships, we project a 35% increase in Melbourne subscriptions by Q2 2024. This Sales Report confirms that The Economist isn't merely selling a publication in Australia Melbourne—we're delivering indispensable strategic intelligence to the city driving Australia's economic future.</w:t>
      </w:r>
    </w:p>
    <w:bookmarkStart w:id="30" w:name="Xff7c14227115b1e123c28250b7659f23bde35a6"/>
    <w:p>
      <w:pPr>
        <w:pStyle w:val="Heading3"/>
      </w:pPr>
      <w:r>
        <w:t xml:space="preserve">Appendix: Key Performance Indicators (Melbourne, 2023)</w:t>
      </w:r>
    </w:p>
    <w:p>
      <w:pPr>
        <w:numPr>
          <w:ilvl w:val="0"/>
          <w:numId w:val="1005"/>
        </w:numPr>
        <w:pStyle w:val="Compact"/>
      </w:pPr>
      <w:r>
        <w:t xml:space="preserve">Total Subscriptions: 14,875 (+29.4% YoY)</w:t>
      </w:r>
    </w:p>
    <w:p>
      <w:pPr>
        <w:numPr>
          <w:ilvl w:val="0"/>
          <w:numId w:val="1005"/>
        </w:numPr>
        <w:pStyle w:val="Compact"/>
      </w:pPr>
      <w:r>
        <w:t xml:space="preserve">Market Share in Premium Business Publications: 68%</w:t>
      </w:r>
    </w:p>
    <w:p>
      <w:pPr>
        <w:numPr>
          <w:ilvl w:val="0"/>
          <w:numId w:val="1005"/>
        </w:numPr>
        <w:pStyle w:val="Compact"/>
      </w:pPr>
      <w:r>
        <w:t xml:space="preserve">Average Revenue Per User (ARPU): $1,620 (vs. national average of $1,350)</w:t>
      </w:r>
    </w:p>
    <w:p>
      <w:pPr>
        <w:numPr>
          <w:ilvl w:val="0"/>
          <w:numId w:val="1005"/>
        </w:numPr>
        <w:pStyle w:val="Compact"/>
      </w:pPr>
      <w:r>
        <w:t xml:space="preserve">Net Promoter Score (NPS): 74 (+9 points from 2022)</w:t>
      </w:r>
    </w:p>
    <w:p>
      <w:pPr>
        <w:pStyle w:val="FirstParagraph"/>
      </w:pPr>
      <w:r>
        <w:rPr>
          <w:iCs/>
          <w:i/>
        </w:rPr>
        <w:t xml:space="preserve">This Sales Report is prepared for internal strategic planning by The Economist Australia Melbourne Division. All data sourced from The Economist Subscription Analytics Platform (Q1-Q4 2023).</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Sales Report: Australia Melbourne Market Performance</dc:title>
  <dc:creator/>
  <dc:language>en</dc:language>
  <cp:keywords/>
  <dcterms:created xsi:type="dcterms:W3CDTF">2026-07-23T20:13:29Z</dcterms:created>
  <dcterms:modified xsi:type="dcterms:W3CDTF">2026-07-23T20:13:29Z</dcterms:modified>
</cp:coreProperties>
</file>

<file path=docProps/custom.xml><?xml version="1.0" encoding="utf-8"?>
<Properties xmlns="http://schemas.openxmlformats.org/officeDocument/2006/custom-properties" xmlns:vt="http://schemas.openxmlformats.org/officeDocument/2006/docPropsVTypes"/>
</file>