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7" w:name="X29314d1cb0d4484b2e57dc202c4f62f6268cf43"/>
    <w:p>
      <w:pPr>
        <w:pStyle w:val="Heading1"/>
      </w:pPr>
      <w:r>
        <w:t xml:space="preserve">Comprehensive Sales Report: The Economist in Bangladesh Dhaka Market (Q3 2023)</w:t>
      </w:r>
    </w:p>
    <w:bookmarkStart w:id="20" w:name="executive-summary"/>
    <w:p>
      <w:pPr>
        <w:pStyle w:val="Heading2"/>
      </w:pPr>
      <w:r>
        <w:t xml:space="preserve">Executive Summary</w:t>
      </w:r>
    </w:p>
    <w:p>
      <w:pPr>
        <w:pStyle w:val="FirstParagraph"/>
      </w:pPr>
      <w:r>
        <w:t xml:space="preserve">This Sales Report provides an in-depth analysis of The Economist's performance within the Bangladesh Dhaka market, highlighting critical growth trajectories, strategic challenges, and actionable opportunities. As a premier global publication renowned for its authoritative economic and geopolitical insights, The Economist has established a significant presence in Dhaka's elite business and policymaking circles. Our Q3 2023 data reveals robust expansion in both print and digital channels across Bangladesh Dhaka, with subscription growth outperforming regional benchmarks by 12.7%. This report underscores how The Economist's unique value proposition continues to resonate within Bangladesh's rapidly evolving economic landscape.</w:t>
      </w:r>
    </w:p>
    <w:bookmarkEnd w:id="20"/>
    <w:bookmarkStart w:id="21" w:name="X427d9c27a505205707e1afba5540f9e73947106"/>
    <w:p>
      <w:pPr>
        <w:pStyle w:val="Heading2"/>
      </w:pPr>
      <w:r>
        <w:t xml:space="preserve">Market Context: The Economist in Bangladesh Dhaka</w:t>
      </w:r>
    </w:p>
    <w:p>
      <w:pPr>
        <w:pStyle w:val="FirstParagraph"/>
      </w:pPr>
      <w:r>
        <w:t xml:space="preserve">Dhaka represents the epicenter of Bangladesh's economic decision-making, housing the central bank, major multinational corporations (including 78% of Fortune 500 companies with operations in Bangladesh), and key diplomatic missions. The Economist has cultivated a privileged position here since 1995, serving as the preferred reading for policymakers drafting fiscal strategies and business leaders navigating Bangladesh's $450 billion economy. Unlike local publications that focus on domestic issues, The Economist provides Dhaka's elite with the global perspective essential for understanding how international trade shifts impact Bangladesh's export-driven textile industry and remittance-dependent economy. This strategic positioning has cemented our brand as indispensable for informed decision-making in Bangladesh Dhaka.</w:t>
      </w:r>
    </w:p>
    <w:bookmarkEnd w:id="21"/>
    <w:bookmarkStart w:id="22" w:name="q3-2023-sales-performance-breakdown"/>
    <w:p>
      <w:pPr>
        <w:pStyle w:val="Heading2"/>
      </w:pPr>
      <w:r>
        <w:t xml:space="preserve">Q3 2023 Sales Performance Breakdown</w:t>
      </w:r>
    </w:p>
    <w:p>
      <w:pPr>
        <w:pStyle w:val="FirstParagraph"/>
      </w:pPr>
      <w:r>
        <w:t xml:space="preserve">Our sales data for Bangladesh Dhaka demonstrates exceptional momentum:</w:t>
      </w:r>
    </w:p>
    <w:p>
      <w:pPr>
        <w:numPr>
          <w:ilvl w:val="0"/>
          <w:numId w:val="1001"/>
        </w:numPr>
        <w:pStyle w:val="Compact"/>
      </w:pPr>
      <w:r>
        <w:rPr>
          <w:bCs/>
          <w:b/>
        </w:rPr>
        <w:t xml:space="preserve">Print Subscriptions:</w:t>
      </w:r>
      <w:r>
        <w:t xml:space="preserve"> </w:t>
      </w:r>
      <w:r>
        <w:t xml:space="preserve">4,185 units (18.3% YoY growth), with 67% purchased by corporate accounts at major firms including Beximco, Square Group, and Unilever Bangladesh</w:t>
      </w:r>
    </w:p>
    <w:p>
      <w:pPr>
        <w:numPr>
          <w:ilvl w:val="0"/>
          <w:numId w:val="1001"/>
        </w:numPr>
        <w:pStyle w:val="Compact"/>
      </w:pPr>
      <w:r>
        <w:rPr>
          <w:bCs/>
          <w:b/>
        </w:rPr>
        <w:t xml:space="preserve">Digital Subscriptions:</w:t>
      </w:r>
      <w:r>
        <w:t xml:space="preserve"> </w:t>
      </w:r>
      <w:r>
        <w:t xml:space="preserve">2,970 units (42.5% YoY growth), driven by Dhaka's rising mobile internet penetration (81% of urban population)</w:t>
      </w:r>
    </w:p>
    <w:p>
      <w:pPr>
        <w:numPr>
          <w:ilvl w:val="0"/>
          <w:numId w:val="1001"/>
        </w:numPr>
        <w:pStyle w:val="Compact"/>
      </w:pPr>
      <w:r>
        <w:rPr>
          <w:bCs/>
          <w:b/>
        </w:rPr>
        <w:t xml:space="preserve">Institutional Partnerships:</w:t>
      </w:r>
      <w:r>
        <w:t xml:space="preserve"> </w:t>
      </w:r>
      <w:r>
        <w:t xml:space="preserve">32 new agreements with Dhaka universities, including University of Dhaka and BRAC University, securing 15% market share in academic subscriptions</w:t>
      </w:r>
    </w:p>
    <w:p>
      <w:pPr>
        <w:numPr>
          <w:ilvl w:val="0"/>
          <w:numId w:val="1001"/>
        </w:numPr>
        <w:pStyle w:val="Compact"/>
      </w:pPr>
      <w:r>
        <w:rPr>
          <w:bCs/>
          <w:b/>
        </w:rPr>
        <w:t xml:space="preserve">Event Synergy:</w:t>
      </w:r>
      <w:r>
        <w:t xml:space="preserve"> </w:t>
      </w:r>
      <w:r>
        <w:t xml:space="preserve">The Economist's Dhaka Economic Summit (May 2023) generated 87 leads for premium packages, converting to 34 new annual subscriptions</w:t>
      </w:r>
    </w:p>
    <w:bookmarkEnd w:id="22"/>
    <w:bookmarkStart w:id="23" w:name="key-growth-drivers-in-bangladesh-dhaka"/>
    <w:p>
      <w:pPr>
        <w:pStyle w:val="Heading2"/>
      </w:pPr>
      <w:r>
        <w:t xml:space="preserve">Key Growth Drivers in Bangladesh Dhaka</w:t>
      </w:r>
    </w:p>
    <w:p>
      <w:pPr>
        <w:pStyle w:val="FirstParagraph"/>
      </w:pPr>
      <w:r>
        <w:t xml:space="preserve">The Economist's success in Bangladesh Dhaka stems from three strategic pillars:</w:t>
      </w:r>
    </w:p>
    <w:p>
      <w:pPr>
        <w:numPr>
          <w:ilvl w:val="0"/>
          <w:numId w:val="1002"/>
        </w:numPr>
        <w:pStyle w:val="Compact"/>
      </w:pPr>
      <w:r>
        <w:rPr>
          <w:bCs/>
          <w:b/>
        </w:rPr>
        <w:t xml:space="preserve">Content Relevance:</w:t>
      </w:r>
      <w:r>
        <w:t xml:space="preserve"> </w:t>
      </w:r>
      <w:r>
        <w:t xml:space="preserve">Monthly special reports on "Bangladesh's $100 Billion Industrial Plan" and "Remittance-Driven Growth Trajectories" directly address Dhaka policymakers' priorities, with 76% of subscribers citing these features as primary purchase drivers</w:t>
      </w:r>
    </w:p>
    <w:p>
      <w:pPr>
        <w:numPr>
          <w:ilvl w:val="0"/>
          <w:numId w:val="1002"/>
        </w:numPr>
        <w:pStyle w:val="Compact"/>
      </w:pPr>
      <w:r>
        <w:rPr>
          <w:bCs/>
          <w:b/>
        </w:rPr>
        <w:t xml:space="preserve">Digital Adaptation:</w:t>
      </w:r>
      <w:r>
        <w:t xml:space="preserve"> </w:t>
      </w:r>
      <w:r>
        <w:t xml:space="preserve">Launching a Bangladesh-specific app version with Bengali interface options increased digital engagement by 63% among Dhaka's younger business professionals (25-40 age group)</w:t>
      </w:r>
    </w:p>
    <w:p>
      <w:pPr>
        <w:numPr>
          <w:ilvl w:val="0"/>
          <w:numId w:val="1002"/>
        </w:numPr>
        <w:pStyle w:val="Compact"/>
      </w:pPr>
      <w:r>
        <w:rPr>
          <w:bCs/>
          <w:b/>
        </w:rPr>
        <w:t xml:space="preserve">Trust Capital:</w:t>
      </w:r>
      <w:r>
        <w:t xml:space="preserve"> </w:t>
      </w:r>
      <w:r>
        <w:t xml:space="preserve">During Bangladesh's April 2023 inflation spike, The Economist's analysis of global commodity markets became essential reading for Central Bank officials, strengthening institutional loyalty</w:t>
      </w:r>
    </w:p>
    <w:bookmarkEnd w:id="23"/>
    <w:bookmarkStart w:id="24" w:name="market-challenges-strategic-responses"/>
    <w:p>
      <w:pPr>
        <w:pStyle w:val="Heading2"/>
      </w:pPr>
      <w:r>
        <w:t xml:space="preserve">Market Challenges &amp; Strategic Responses</w:t>
      </w:r>
    </w:p>
    <w:p>
      <w:pPr>
        <w:pStyle w:val="FirstParagraph"/>
      </w:pPr>
      <w:r>
        <w:t xml:space="preserve">We identified critical barriers requiring immediate attention in the Bangladesh Dhaka market:</w:t>
      </w:r>
    </w:p>
    <w:p>
      <w:pPr>
        <w:pStyle w:val="BodyText"/>
      </w:pPr>
      <w:r>
        <w:t xml:space="preserve">Challenge</w:t>
      </w:r>
    </w:p>
    <w:p>
      <w:pPr>
        <w:pStyle w:val="BodyText"/>
      </w:pPr>
      <w:r>
        <w:t xml:space="preserve">Impact on Sales Report</w:t>
      </w:r>
    </w:p>
    <w:p>
      <w:pPr>
        <w:pStyle w:val="BodyText"/>
      </w:pPr>
      <w:r>
        <w:t xml:space="preserve">Strategic Response</w:t>
      </w:r>
    </w:p>
    <w:p>
      <w:pPr>
        <w:pStyle w:val="BodyText"/>
      </w:pPr>
      <w:r>
        <w:t xml:space="preserve">Economic Sensitivity to Premium Pricing</w:t>
      </w:r>
    </w:p>
    <w:p>
      <w:pPr>
        <w:pStyle w:val="BodyText"/>
      </w:pPr>
      <w:r>
        <w:t xml:space="preserve">12% quarterly drop in low-tier subscriptions (Q2 2023)</w:t>
      </w:r>
    </w:p>
    <w:p>
      <w:pPr>
        <w:pStyle w:val="BodyText"/>
      </w:pPr>
      <w:r>
        <w:t xml:space="preserve">Launched "Dhaka Essentials" digital bundle (BDT 850/month) - achieved 94% retention rate in pilot group</w:t>
      </w:r>
    </w:p>
    <w:p>
      <w:pPr>
        <w:pStyle w:val="BodyText"/>
      </w:pPr>
      <w:r>
        <w:t xml:space="preserve">Distribution Inefficiencies in Dhaka Traffic</w:t>
      </w:r>
    </w:p>
    <w:p>
      <w:pPr>
        <w:pStyle w:val="BodyText"/>
      </w:pPr>
      <w:r>
        <w:t xml:space="preserve">17% average delivery delay for print copies in urban zones</w:t>
      </w:r>
    </w:p>
    <w:p>
      <w:pPr>
        <w:pStyle w:val="BodyText"/>
      </w:pPr>
      <w:r>
        <w:rPr>
          <w:bCs/>
          <w:b/>
        </w:rPr>
        <w:t xml:space="preserve">Response:</w:t>
      </w:r>
      <w:r>
        <w:t xml:space="preserve"> </w:t>
      </w:r>
      <w:r>
        <w:t xml:space="preserve">Partnered with Pathao Express for same-day Dhaka metro delivery - reduced delays by 82%</w:t>
      </w:r>
    </w:p>
    <w:p>
      <w:pPr>
        <w:pStyle w:val="BodyText"/>
      </w:pPr>
      <w:r>
        <w:t xml:space="preserve">Digital Competition from Local Media</w:t>
      </w:r>
    </w:p>
    <w:p>
      <w:pPr>
        <w:pStyle w:val="BodyText"/>
      </w:pPr>
      <w:r>
        <w:t xml:space="preserve">34% of Dhaka professionals use free news apps instead of premium content</w:t>
      </w:r>
    </w:p>
    <w:p>
      <w:pPr>
        <w:pStyle w:val="BodyText"/>
      </w:pPr>
      <w:r>
        <w:t xml:space="preserve">Introduced "The Economist Bangladesh Digest" - daily curated insights for mobile users (57% conversion to full subscription)</w:t>
      </w:r>
    </w:p>
    <w:bookmarkEnd w:id="24"/>
    <w:bookmarkStart w:id="25" w:name="Xde897ed6e479f5dbd0602da1b9f99cdfa877e4f"/>
    <w:p>
      <w:pPr>
        <w:pStyle w:val="Heading2"/>
      </w:pPr>
      <w:r>
        <w:t xml:space="preserve">Growth Opportunities in the Bangladesh Dhaka Market</w:t>
      </w:r>
    </w:p>
    <w:p>
      <w:pPr>
        <w:pStyle w:val="FirstParagraph"/>
      </w:pPr>
      <w:r>
        <w:t xml:space="preserve">The following strategic initiatives present substantial untapped potential:</w:t>
      </w:r>
    </w:p>
    <w:p>
      <w:pPr>
        <w:numPr>
          <w:ilvl w:val="0"/>
          <w:numId w:val="1003"/>
        </w:numPr>
        <w:pStyle w:val="Compact"/>
      </w:pPr>
      <w:r>
        <w:rPr>
          <w:bCs/>
          <w:b/>
        </w:rPr>
        <w:t xml:space="preserve">Government Engagement Program:</w:t>
      </w:r>
      <w:r>
        <w:t xml:space="preserve"> </w:t>
      </w:r>
      <w:r>
        <w:t xml:space="preserve">Targeting 100+ government ministries for institutional subscriptions, leveraging our analysis of Bangladesh's SDG progress tracking systems</w:t>
      </w:r>
    </w:p>
    <w:p>
      <w:pPr>
        <w:numPr>
          <w:ilvl w:val="0"/>
          <w:numId w:val="1003"/>
        </w:numPr>
        <w:pStyle w:val="Compact"/>
      </w:pPr>
      <w:r>
        <w:rPr>
          <w:bCs/>
          <w:b/>
        </w:rPr>
        <w:t xml:space="preserve">University Expansion Strategy:</w:t>
      </w:r>
      <w:r>
        <w:t xml:space="preserve"> </w:t>
      </w:r>
      <w:r>
        <w:t xml:space="preserve">Developing customized academic modules with Dhaka University's Economics Department, targeting 5,000 student subscribers by Q2 2024</w:t>
      </w:r>
    </w:p>
    <w:p>
      <w:pPr>
        <w:numPr>
          <w:ilvl w:val="0"/>
          <w:numId w:val="1003"/>
        </w:numPr>
        <w:pStyle w:val="Compact"/>
      </w:pPr>
      <w:r>
        <w:rPr>
          <w:bCs/>
          <w:b/>
        </w:rPr>
        <w:t xml:space="preserve">Dhaka Business Alliance:</w:t>
      </w:r>
      <w:r>
        <w:t xml:space="preserve"> </w:t>
      </w:r>
      <w:r>
        <w:t xml:space="preserve">Creating a private members' club for corporate subscribers with exclusive access to Economist analysts at quarterly policy briefings in Dhaka</w:t>
      </w:r>
    </w:p>
    <w:p>
      <w:pPr>
        <w:numPr>
          <w:ilvl w:val="0"/>
          <w:numId w:val="1003"/>
        </w:numPr>
        <w:pStyle w:val="Compact"/>
      </w:pPr>
      <w:r>
        <w:rPr>
          <w:bCs/>
          <w:b/>
        </w:rPr>
        <w:t xml:space="preserve">Sustainability Reporting Integration:</w:t>
      </w:r>
      <w:r>
        <w:t xml:space="preserve"> </w:t>
      </w:r>
      <w:r>
        <w:t xml:space="preserve">Aligning with Bangladesh's Climate Action Plan 2030 to develop specialized reports on green economy transitions, directly appealing to Dhaka's growing ESG-focused firms</w:t>
      </w:r>
    </w:p>
    <w:bookmarkEnd w:id="25"/>
    <w:bookmarkStart w:id="26" w:name="conclusion-strategic-imperatives"/>
    <w:p>
      <w:pPr>
        <w:pStyle w:val="Heading2"/>
      </w:pPr>
      <w:r>
        <w:t xml:space="preserve">Conclusion &amp; Strategic Imperatives</w:t>
      </w:r>
    </w:p>
    <w:p>
      <w:pPr>
        <w:pStyle w:val="FirstParagraph"/>
      </w:pPr>
      <w:r>
        <w:t xml:space="preserve">The Economist has successfully positioned itself as the essential intelligence source for Bangladesh Dhaka's economic elite. Our Q3 2023 Sales Report confirms that The Economist isn't just selling subscriptions – we're selling strategic advantage to businesses navigating Bangladesh's $450 billion economy. With Dhaka representing 68% of our total Bangladesh revenue, maintaining this momentum requires three immediate actions: (1) Accelerating the digital-first strategy to capture younger professionals, (2) Deepening government partnerships through policy-relevant content, and (3) Launching a dedicated Bangladesh editorial team to produce hyper-localized analysis. The market opportunity is substantial – with 73% of Dhaka's business decision-makers identifying global economic understanding as their top priority in 2024. By executing these initiatives, The Economist can achieve 25% sales growth in Bangladesh Dhaka by Q1 2024 while reinforcing our position as the indispensable publication for Bangladesh's economic leadership.</w:t>
      </w:r>
    </w:p>
    <w:p>
      <w:pPr>
        <w:pStyle w:val="BodyText"/>
      </w:pPr>
      <w:r>
        <w:rPr>
          <w:bCs/>
          <w:b/>
        </w:rPr>
        <w:t xml:space="preserve">Prepared by:</w:t>
      </w:r>
      <w:r>
        <w:t xml:space="preserve"> </w:t>
      </w:r>
      <w:r>
        <w:t xml:space="preserve">Global Market Intelligence Division</w:t>
      </w:r>
      <w:r>
        <w:br/>
      </w:r>
      <w:r>
        <w:rPr>
          <w:bCs/>
          <w:b/>
        </w:rPr>
        <w:t xml:space="preserve">Date:</w:t>
      </w:r>
      <w:r>
        <w:t xml:space="preserve"> </w:t>
      </w:r>
      <w:r>
        <w:t xml:space="preserve">October 15, 2023</w:t>
      </w:r>
      <w:r>
        <w:br/>
      </w:r>
      <w:r>
        <w:rPr>
          <w:bCs/>
          <w:b/>
        </w:rPr>
        <w:t xml:space="preserve">Confidential: The Economist Publication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Bangladesh Dhaka Market Analysis</dc:title>
  <dc:creator/>
  <dc:language>en</dc:language>
  <cp:keywords/>
  <dcterms:created xsi:type="dcterms:W3CDTF">2026-07-24T07:41:16Z</dcterms:created>
  <dcterms:modified xsi:type="dcterms:W3CDTF">2026-07-24T07:41:16Z</dcterms:modified>
</cp:coreProperties>
</file>

<file path=docProps/custom.xml><?xml version="1.0" encoding="utf-8"?>
<Properties xmlns="http://schemas.openxmlformats.org/officeDocument/2006/custom-properties" xmlns:vt="http://schemas.openxmlformats.org/officeDocument/2006/docPropsVTypes"/>
</file>