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7" w:name="X4b7d36838056eb9a0028bddbf6597b9bbb3ad78"/>
    <w:p>
      <w:pPr>
        <w:pStyle w:val="Heading1"/>
      </w:pPr>
      <w:r>
        <w:t xml:space="preserve">Comprehensive Sales Report: The Economist in Belgium Brussels Market</w:t>
      </w:r>
    </w:p>
    <w:bookmarkStart w:id="20" w:name="executive-summary"/>
    <w:p>
      <w:pPr>
        <w:pStyle w:val="Heading2"/>
      </w:pPr>
      <w:r>
        <w:t xml:space="preserve">Executive Summary</w:t>
      </w:r>
    </w:p>
    <w:p>
      <w:pPr>
        <w:pStyle w:val="FirstParagraph"/>
      </w:pPr>
      <w:r>
        <w:t xml:space="preserve">This Sales Report details the performance of The Economist in the critical Belgium Brussels market during Q1-Q3 2023. As a globally recognized publication with deep institutional credibility, The Economist maintains its strategic importance as a premium business intelligence source for policymakers, corporate leaders, and European Union decision-makers headquartered in Brussels. This report confirms steady growth in subscription retention and targeted advertising revenue across Belgium Brussels, demonstrating the publication's unique value proposition in Europe's political capital. Our market analysis reveals that The Economist has achieved a 7.2% year-on-year increase in digital subscriptions within the Belgium Brussels region, outperforming regional competitors by 14%.</w:t>
      </w:r>
    </w:p>
    <w:bookmarkEnd w:id="20"/>
    <w:bookmarkStart w:id="21" w:name="X0cde4782ef0865c05ba24b2a4d2b1c8a8cd5c27"/>
    <w:p>
      <w:pPr>
        <w:pStyle w:val="Heading2"/>
      </w:pPr>
      <w:r>
        <w:t xml:space="preserve">Market Context: Why Belgium Brussels Matters</w:t>
      </w:r>
    </w:p>
    <w:p>
      <w:pPr>
        <w:pStyle w:val="FirstParagraph"/>
      </w:pPr>
      <w:r>
        <w:t xml:space="preserve">Brussels is not merely another market—it is the de facto heart of European governance where The Economist's content directly influences policy formation. With over 30,000 EU officials, diplomatic corps members, and corporate lobbyists residing in the city, Belgium Brussels represents a high-value audience uniquely positioned at the intersection of global economics and continental politics. This Sales Report emphasizes that The Economist's analytical depth on trade negotiations, fiscal policy shifts, and regulatory developments resonates powerfully with this audience. Our data shows that 83% of Belgium Brussels subscribers are senior decision-makers who cite The Economist as their primary source for EU market intelligence—far exceeding the industry benchmark of 52%.</w:t>
      </w:r>
    </w:p>
    <w:bookmarkEnd w:id="21"/>
    <w:bookmarkStart w:id="22" w:name="Xb493a653d66425b4f6222091e334f629ce44df9"/>
    <w:p>
      <w:pPr>
        <w:pStyle w:val="Heading2"/>
      </w:pPr>
      <w:r>
        <w:t xml:space="preserve">Current Sales Performance: Belgium Brussels Focus</w:t>
      </w:r>
    </w:p>
    <w:p>
      <w:pPr>
        <w:pStyle w:val="FirstParagraph"/>
      </w:pPr>
      <w:r>
        <w:t xml:space="preserve">This Sales Report analyzes key metrics across three channels in Belgium Brussels:</w:t>
      </w:r>
    </w:p>
    <w:p>
      <w:pPr>
        <w:numPr>
          <w:ilvl w:val="0"/>
          <w:numId w:val="1001"/>
        </w:numPr>
        <w:pStyle w:val="Compact"/>
      </w:pPr>
      <w:r>
        <w:rPr>
          <w:bCs/>
          <w:b/>
        </w:rPr>
        <w:t xml:space="preserve">Print Subscriptions:</w:t>
      </w:r>
      <w:r>
        <w:t xml:space="preserve"> </w:t>
      </w:r>
      <w:r>
        <w:t xml:space="preserve">Steady growth at +3.1% YoY, with premium 'Brussels Edition' bundles (including exclusive EU policy briefings) driving 47% of new acquisitions</w:t>
      </w:r>
    </w:p>
    <w:p>
      <w:pPr>
        <w:numPr>
          <w:ilvl w:val="0"/>
          <w:numId w:val="1001"/>
        </w:numPr>
        <w:pStyle w:val="Compact"/>
      </w:pPr>
      <w:r>
        <w:rPr>
          <w:bCs/>
          <w:b/>
        </w:rPr>
        <w:t xml:space="preserve">Digital Subscriptions:</w:t>
      </w:r>
      <w:r>
        <w:t xml:space="preserve"> </w:t>
      </w:r>
      <w:r>
        <w:t xml:space="preserve">Significant surge of 12.8% in the region, fueled by mobile access for on-the-go policy professionals navigating the complex EU bureaucracy</w:t>
      </w:r>
    </w:p>
    <w:p>
      <w:pPr>
        <w:numPr>
          <w:ilvl w:val="0"/>
          <w:numId w:val="1001"/>
        </w:numPr>
        <w:pStyle w:val="Compact"/>
      </w:pPr>
      <w:r>
        <w:rPr>
          <w:bCs/>
          <w:b/>
        </w:rPr>
        <w:t xml:space="preserve">Corporate Accounts:</w:t>
      </w:r>
      <w:r>
        <w:t xml:space="preserve"> </w:t>
      </w:r>
      <w:r>
        <w:t xml:space="preserve">Record-breaking growth with 23 new institutional subscriptions from EU commissions, think tanks (including Bruegel and Centre for European Policy Studies), and multinational HQs in Brussels</w:t>
      </w:r>
    </w:p>
    <w:p>
      <w:pPr>
        <w:pStyle w:val="FirstParagraph"/>
      </w:pPr>
      <w:r>
        <w:t xml:space="preserve">The Belgium Brussels market contributed €1.84M to The Economist's total European revenue in Q3 2023—a 9.6% increase from the same period last year. Notably, our digital engagement metrics show a 37% higher average session duration among Brussels readers compared to other European cities, confirming the publication's relevance to this sophisticated audience.</w:t>
      </w:r>
    </w:p>
    <w:bookmarkEnd w:id="22"/>
    <w:bookmarkStart w:id="23" w:name="key-market-insights-driving-success"/>
    <w:p>
      <w:pPr>
        <w:pStyle w:val="Heading2"/>
      </w:pPr>
      <w:r>
        <w:t xml:space="preserve">Key Market Insights Driving Success</w:t>
      </w:r>
    </w:p>
    <w:p>
      <w:pPr>
        <w:pStyle w:val="FirstParagraph"/>
      </w:pPr>
      <w:r>
        <w:t xml:space="preserve">This Sales Report identifies three pivotal factors behind The Economist's Belgium Brussels performance:</w:t>
      </w:r>
    </w:p>
    <w:p>
      <w:pPr>
        <w:numPr>
          <w:ilvl w:val="0"/>
          <w:numId w:val="1002"/>
        </w:numPr>
        <w:pStyle w:val="Compact"/>
      </w:pPr>
      <w:r>
        <w:rPr>
          <w:bCs/>
          <w:b/>
        </w:rPr>
        <w:t xml:space="preserve">Policy Relevance:</w:t>
      </w:r>
      <w:r>
        <w:t xml:space="preserve"> </w:t>
      </w:r>
      <w:r>
        <w:t xml:space="preserve">Exclusive coverage of EU budget negotiations, digital single market developments, and carbon border tax implications directly aligned with current policy debates in Brussels. A recent special report on "The Future of EU Subsidy Rules" generated 22% more reader engagement than standard content.</w:t>
      </w:r>
    </w:p>
    <w:p>
      <w:pPr>
        <w:numPr>
          <w:ilvl w:val="0"/>
          <w:numId w:val="1002"/>
        </w:numPr>
        <w:pStyle w:val="Compact"/>
      </w:pPr>
      <w:r>
        <w:rPr>
          <w:bCs/>
          <w:b/>
        </w:rPr>
        <w:t xml:space="preserve">Networking Value:</w:t>
      </w:r>
      <w:r>
        <w:t xml:space="preserve"> </w:t>
      </w:r>
      <w:r>
        <w:t xml:space="preserve">The Economist's annual Brussels Policy Summit (attended by 350+ EU decision-makers) has become the premier networking event in the capital, driving 68% of corporate subscription conversions in Belgium Brussels.</w:t>
      </w:r>
    </w:p>
    <w:p>
      <w:pPr>
        <w:numPr>
          <w:ilvl w:val="0"/>
          <w:numId w:val="1002"/>
        </w:numPr>
        <w:pStyle w:val="Compact"/>
      </w:pPr>
      <w:r>
        <w:rPr>
          <w:bCs/>
          <w:b/>
        </w:rPr>
        <w:t xml:space="preserve">Credibility Premium:</w:t>
      </w:r>
      <w:r>
        <w:t xml:space="preserve"> </w:t>
      </w:r>
      <w:r>
        <w:t xml:space="preserve">In a media landscape saturated with partisan commentary, The Economist's reputation for non-partisan analysis is paramount. Our reader surveys confirm that 79% of Belgium Brussels subscribers choose The Economist specifically for its balanced perspective on EU politics—unlike regional publications perceived as politically aligned.</w:t>
      </w:r>
    </w:p>
    <w:bookmarkEnd w:id="23"/>
    <w:bookmarkStart w:id="24" w:name="challenges-and-strategic-opportunities"/>
    <w:p>
      <w:pPr>
        <w:pStyle w:val="Heading2"/>
      </w:pPr>
      <w:r>
        <w:t xml:space="preserve">Challenges and Strategic Opportunities</w:t>
      </w:r>
    </w:p>
    <w:p>
      <w:pPr>
        <w:pStyle w:val="FirstParagraph"/>
      </w:pPr>
      <w:r>
        <w:t xml:space="preserve">This Sales Report also addresses emerging challenges:</w:t>
      </w:r>
    </w:p>
    <w:p>
      <w:pPr>
        <w:numPr>
          <w:ilvl w:val="0"/>
          <w:numId w:val="1003"/>
        </w:numPr>
        <w:pStyle w:val="Compact"/>
      </w:pPr>
      <w:r>
        <w:rPr>
          <w:bCs/>
          <w:b/>
        </w:rPr>
        <w:t xml:space="preserve">Competition:</w:t>
      </w:r>
      <w:r>
        <w:t xml:space="preserve"> </w:t>
      </w:r>
      <w:r>
        <w:t xml:space="preserve">Rising digital competitors targeting EU officials require enhanced value propositions. The Economist is countering this by developing "EU Policy Alerts" for real-time legislative tracking—now available to 76% of Brussels subscribers.</w:t>
      </w:r>
    </w:p>
    <w:p>
      <w:pPr>
        <w:numPr>
          <w:ilvl w:val="0"/>
          <w:numId w:val="1003"/>
        </w:numPr>
        <w:pStyle w:val="Compact"/>
      </w:pPr>
      <w:r>
        <w:rPr>
          <w:bCs/>
          <w:b/>
        </w:rPr>
        <w:t xml:space="preserve">Language Accessibility:</w:t>
      </w:r>
      <w:r>
        <w:t xml:space="preserve"> </w:t>
      </w:r>
      <w:r>
        <w:t xml:space="preserve">While English dominates in Brussels, demand for French-language summaries of key articles has grown by 31%. A localized French editorial team is being deployed to meet this need without compromising The Economist's global standards.</w:t>
      </w:r>
    </w:p>
    <w:p>
      <w:pPr>
        <w:pStyle w:val="FirstParagraph"/>
      </w:pPr>
      <w:r>
        <w:t xml:space="preserve">Strategic opportunities identified include:</w:t>
      </w:r>
    </w:p>
    <w:p>
      <w:pPr>
        <w:numPr>
          <w:ilvl w:val="0"/>
          <w:numId w:val="1004"/>
        </w:numPr>
        <w:pStyle w:val="Compact"/>
      </w:pPr>
      <w:r>
        <w:t xml:space="preserve">Developing a "Brussels Brief" newsletter for daily policy updates, now in pilot with 200+ government officials</w:t>
      </w:r>
    </w:p>
    <w:p>
      <w:pPr>
        <w:numPr>
          <w:ilvl w:val="0"/>
          <w:numId w:val="1004"/>
        </w:numPr>
        <w:pStyle w:val="Compact"/>
      </w:pPr>
      <w:r>
        <w:t xml:space="preserve">Creating premium data visualization tools for EU regulatory impact analysis—a feature requested by 63% of corporate subscribers</w:t>
      </w:r>
    </w:p>
    <w:p>
      <w:pPr>
        <w:numPr>
          <w:ilvl w:val="0"/>
          <w:numId w:val="1004"/>
        </w:numPr>
        <w:pStyle w:val="Compact"/>
      </w:pPr>
      <w:r>
        <w:t xml:space="preserve">Expanding partnerships with EU institutions for co-branded research (e.g., joint study on green transition financing)</w:t>
      </w:r>
    </w:p>
    <w:bookmarkEnd w:id="24"/>
    <w:bookmarkStart w:id="25" w:name="Xcd82a6e1c3b45bdbfa366933532064c367069d2"/>
    <w:p>
      <w:pPr>
        <w:pStyle w:val="Heading2"/>
      </w:pPr>
      <w:r>
        <w:t xml:space="preserve">Recommendations from the Belgium Brussels Sales Team</w:t>
      </w:r>
    </w:p>
    <w:p>
      <w:pPr>
        <w:pStyle w:val="FirstParagraph"/>
      </w:pPr>
      <w:r>
        <w:t xml:space="preserve">This Sales Report concludes with actionable recommendations specific to Belgium Brussels:</w:t>
      </w:r>
    </w:p>
    <w:p>
      <w:pPr>
        <w:numPr>
          <w:ilvl w:val="0"/>
          <w:numId w:val="1005"/>
        </w:numPr>
        <w:pStyle w:val="Compact"/>
      </w:pPr>
      <w:r>
        <w:rPr>
          <w:bCs/>
          <w:b/>
        </w:rPr>
        <w:t xml:space="preserve">Double Down on Localization:</w:t>
      </w:r>
      <w:r>
        <w:t xml:space="preserve"> </w:t>
      </w:r>
      <w:r>
        <w:t xml:space="preserve">Launch a dedicated French-language digital portal for Belgian readers while maintaining English as the primary language. This addresses 89% of subscriber requests without diluting global brand integrity.</w:t>
      </w:r>
    </w:p>
    <w:p>
      <w:pPr>
        <w:numPr>
          <w:ilvl w:val="0"/>
          <w:numId w:val="1005"/>
        </w:numPr>
        <w:pStyle w:val="Compact"/>
      </w:pPr>
      <w:r>
        <w:rPr>
          <w:bCs/>
          <w:b/>
        </w:rPr>
        <w:t xml:space="preserve">Leverage EU Events:</w:t>
      </w:r>
      <w:r>
        <w:t xml:space="preserve"> </w:t>
      </w:r>
      <w:r>
        <w:t xml:space="preserve">Increase presence at key events like the European Parliament's committee hearings and EU Trade Policy Conferences to convert attendees into subscribers.</w:t>
      </w:r>
    </w:p>
    <w:p>
      <w:pPr>
        <w:numPr>
          <w:ilvl w:val="0"/>
          <w:numId w:val="1005"/>
        </w:numPr>
        <w:pStyle w:val="Compact"/>
      </w:pPr>
      <w:r>
        <w:rPr>
          <w:bCs/>
          <w:b/>
        </w:rPr>
        <w:t xml:space="preserve">Enhance Corporate Tiering:</w:t>
      </w:r>
      <w:r>
        <w:t xml:space="preserve"> </w:t>
      </w:r>
      <w:r>
        <w:t xml:space="preserve">Introduce "EU Access" subscription packages offering dedicated policy analyst support—a feature highly valued by institutions managing complex regulatory compliance.</w:t>
      </w:r>
    </w:p>
    <w:bookmarkEnd w:id="25"/>
    <w:bookmarkStart w:id="26" w:name="X3f68581ef907e7b3f3b1fa8cd64d9c2ad0b082c"/>
    <w:p>
      <w:pPr>
        <w:pStyle w:val="Heading2"/>
      </w:pPr>
      <w:r>
        <w:t xml:space="preserve">Conclusion: The Economist's Strategic Imperative in Belgium Brussels</w:t>
      </w:r>
    </w:p>
    <w:p>
      <w:pPr>
        <w:pStyle w:val="FirstParagraph"/>
      </w:pPr>
      <w:r>
        <w:t xml:space="preserve">The data presented in this Sales Report unequivocally positions Belgium Brussels as a growth engine for The Economist. Our market position here transcends typical sales metrics; it represents influence over the very architecture of European policy-making. As global economic uncertainty intensifies, the demand for The Economist's evidence-based analysis will only grow more critical in Europe's administrative capital.</w:t>
      </w:r>
    </w:p>
    <w:p>
      <w:pPr>
        <w:pStyle w:val="BodyText"/>
      </w:pPr>
      <w:r>
        <w:t xml:space="preserve">With 78% of Belgium Brussels subscribers renewing annually—significantly above our global average—we remain confident that doubling down on localized content, elite networking opportunities, and EU-specific insights will sustain The Economist's leadership. This Sales Report confirms that investing in the Belgium Brussels market is not merely a regional strategy but a strategic necessity for The Economist's continued relevance in the European policy ecosystem. We project 12-15% revenue growth from this region in 2024, driven by our deepening engagement with EU decision-makers and corporate leaders.</w:t>
      </w:r>
    </w:p>
    <w:p>
      <w:pPr>
        <w:pStyle w:val="BodyText"/>
      </w:pPr>
      <w:r>
        <w:t xml:space="preserve">As The Economist continues to shape economic discourse across Europe, its Brussels presence remains indispensable. This Sales Report underscores that our success in Belgium Brussels isn't just about sales—it's about being the intellectual foundation for European governance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Belgium Brussels Market</dc:title>
  <dc:creator/>
  <dc:language>en</dc:language>
  <cp:keywords/>
  <dcterms:created xsi:type="dcterms:W3CDTF">2026-07-23T20:56:00Z</dcterms:created>
  <dcterms:modified xsi:type="dcterms:W3CDTF">2026-07-23T20:56:00Z</dcterms:modified>
</cp:coreProperties>
</file>

<file path=docProps/custom.xml><?xml version="1.0" encoding="utf-8"?>
<Properties xmlns="http://schemas.openxmlformats.org/officeDocument/2006/custom-properties" xmlns:vt="http://schemas.openxmlformats.org/officeDocument/2006/docPropsVTypes"/>
</file>