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Canada</w:t>
      </w:r>
      <w:r>
        <w:t xml:space="preserve"> </w:t>
      </w:r>
      <w:r>
        <w:t xml:space="preserve">Toronto</w:t>
      </w:r>
      <w:r>
        <w:t xml:space="preserve"> </w:t>
      </w:r>
      <w:r>
        <w:t xml:space="preserve">Market</w:t>
      </w:r>
    </w:p>
    <w:bookmarkStart w:id="27" w:name="X478a271a3d07493734112835a0c9bd640a1f6f4"/>
    <w:p>
      <w:pPr>
        <w:pStyle w:val="Heading1"/>
      </w:pPr>
      <w:r>
        <w:t xml:space="preserve">Sales Report: The Economist's Strategic Growth in Canada Toronto Market (Q3 2023)</w:t>
      </w:r>
    </w:p>
    <w:bookmarkStart w:id="20" w:name="executive-summary"/>
    <w:p>
      <w:pPr>
        <w:pStyle w:val="Heading2"/>
      </w:pPr>
      <w:r>
        <w:t xml:space="preserve">Executive Summary</w:t>
      </w:r>
    </w:p>
    <w:p>
      <w:pPr>
        <w:pStyle w:val="FirstParagraph"/>
      </w:pPr>
      <w:r>
        <w:t xml:space="preserve">This comprehensive Sales Report details the performance of The Economist across the Canada Toronto market during Q3 2023. As a globally recognized publication renowned for its analytical journalism, The Economist has maintained robust engagement with Canadian professionals and policymakers. This report highlights a 14.7% year-over-year growth in subscription revenue within Toronto—a critical hub for finance, technology, and government decision-making in Canada. The success underscores the publication's strategic alignment with Toronto's dynamic economic landscape and its position as the leading source of international business intelligence for Canadian audiences.</w:t>
      </w:r>
    </w:p>
    <w:bookmarkEnd w:id="20"/>
    <w:bookmarkStart w:id="21" w:name="X3eb5389ee9bef78832a662ba781922b29a7805b"/>
    <w:p>
      <w:pPr>
        <w:pStyle w:val="Heading2"/>
      </w:pPr>
      <w:r>
        <w:t xml:space="preserve">Market Context: The Economist in Canada Toronto</w:t>
      </w:r>
    </w:p>
    <w:p>
      <w:pPr>
        <w:pStyle w:val="FirstParagraph"/>
      </w:pPr>
      <w:r>
        <w:t xml:space="preserve">Canada Toronto represents a pivotal market for The Economist, home to 5.3 million residents and serving as the nation's financial capital. Over 87% of Canada's Fortune 500 companies maintain headquarters or major operations in Greater Toronto, creating an ideal ecosystem for high-value subscription growth. The Economist has strategically tailored its content to address Toronto-specific priorities: supply chain resilience post-pandemic, Canada-U.S. trade negotiations under the USMCA framework, and the impact of Ontario's Green Energy Transition Act on multinational corporations.</w:t>
      </w:r>
    </w:p>
    <w:p>
      <w:pPr>
        <w:pStyle w:val="BodyText"/>
      </w:pPr>
      <w:r>
        <w:t xml:space="preserve">Key demographics driving this growth include C-suite executives (38% of new subscribers), policy analysts at federal/provincial ministries (22%), and venture capital firms managing $1.2T+ in Canadian assets. Notably, The Economist's Toronto audience demonstrates 40% higher engagement with data-driven analytics compared to global averages—directly reflecting the city’s data-centric business culture.</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Toronto Subscribers (Q3)</w:t>
            </w:r>
          </w:p>
        </w:tc>
        <w:tc>
          <w:tcPr/>
          <w:p>
            <w:pPr>
              <w:pStyle w:val="Compact"/>
              <w:jc w:val="left"/>
            </w:pPr>
            <w:r>
              <w:t xml:space="preserve">YoY Growth</w:t>
            </w:r>
          </w:p>
        </w:tc>
        <w:tc>
          <w:tcPr/>
          <w:p>
            <w:pPr>
              <w:pStyle w:val="Compact"/>
              <w:jc w:val="left"/>
            </w:pPr>
            <w:r>
              <w:t xml:space="preserve">Revenue Contribution</w:t>
            </w:r>
          </w:p>
        </w:tc>
      </w:tr>
      <w:tr>
        <w:tc>
          <w:tcPr/>
          <w:p>
            <w:pPr>
              <w:pStyle w:val="Compact"/>
              <w:jc w:val="left"/>
            </w:pPr>
            <w:r>
              <w:t xml:space="preserve">Digital Subscription (Premium)</w:t>
            </w:r>
          </w:p>
        </w:tc>
        <w:tc>
          <w:tcPr/>
          <w:p>
            <w:pPr>
              <w:pStyle w:val="Compact"/>
              <w:jc w:val="left"/>
            </w:pPr>
            <w:r>
              <w:t xml:space="preserve">18,450</w:t>
            </w:r>
          </w:p>
        </w:tc>
        <w:tc>
          <w:tcPr/>
          <w:p>
            <w:pPr>
              <w:pStyle w:val="Compact"/>
              <w:jc w:val="left"/>
            </w:pPr>
            <w:r>
              <w:t xml:space="preserve">+19.2%</w:t>
            </w:r>
          </w:p>
        </w:tc>
        <w:tc>
          <w:tcPr/>
          <w:p>
            <w:pPr>
              <w:pStyle w:val="Compact"/>
              <w:jc w:val="left"/>
            </w:pPr>
            <w:r>
              <w:t xml:space="preserve">62%</w:t>
            </w:r>
          </w:p>
        </w:tc>
      </w:tr>
      <w:tr>
        <w:tc>
          <w:tcPr/>
          <w:p>
            <w:pPr>
              <w:pStyle w:val="Compact"/>
              <w:jc w:val="left"/>
            </w:pPr>
            <w:r>
              <w:t xml:space="preserve">Print + Digital Bundle</w:t>
            </w:r>
          </w:p>
        </w:tc>
        <w:tc>
          <w:tcPr/>
          <w:p>
            <w:pPr>
              <w:pStyle w:val="Compact"/>
              <w:jc w:val="left"/>
            </w:pPr>
            <w:r>
              <w:t xml:space="preserve">7,310</w:t>
            </w:r>
          </w:p>
        </w:tc>
        <w:tc>
          <w:tcPr/>
          <w:p>
            <w:pPr>
              <w:pStyle w:val="Compact"/>
              <w:jc w:val="left"/>
            </w:pPr>
            <w:r>
              <w:t xml:space="preserve">+8.5%</w:t>
            </w:r>
          </w:p>
        </w:tc>
        <w:tc>
          <w:tcPr/>
          <w:p>
            <w:pPr>
              <w:pStyle w:val="Compact"/>
              <w:jc w:val="left"/>
            </w:pPr>
            <w:r>
              <w:t xml:space="preserve">25%</w:t>
            </w:r>
          </w:p>
        </w:tc>
      </w:tr>
      <w:tr>
        <w:tc>
          <w:tcPr/>
          <w:p>
            <w:pPr>
              <w:pStyle w:val="Compact"/>
              <w:jc w:val="left"/>
            </w:pPr>
            <w:r>
              <w:t xml:space="preserve">Campus/University Partnerships</w:t>
            </w:r>
          </w:p>
        </w:tc>
        <w:tc>
          <w:tcPr/>
          <w:p>
            <w:pPr>
              <w:pStyle w:val="Compact"/>
              <w:jc w:val="left"/>
            </w:pPr>
            <w:r>
              <w:t xml:space="preserve">1,240</w:t>
            </w:r>
          </w:p>
        </w:tc>
        <w:tc>
          <w:tcPr/>
          <w:p>
            <w:pPr>
              <w:pStyle w:val="Compact"/>
              <w:jc w:val="left"/>
            </w:pPr>
            <w:r>
              <w:t xml:space="preserve">+33.7%</w:t>
            </w:r>
          </w:p>
        </w:tc>
        <w:tc>
          <w:tcPr/>
          <w:p>
            <w:pPr>
              <w:pStyle w:val="Compact"/>
              <w:jc w:val="left"/>
            </w:pPr>
            <w:r>
              <w:t xml:space="preserve">8%</w:t>
            </w:r>
          </w:p>
        </w:tc>
      </w:tr>
      <w:tr>
        <w:tc>
          <w:tcPr/>
          <w:p>
            <w:pPr>
              <w:pStyle w:val="Compact"/>
              <w:jc w:val="left"/>
            </w:pPr>
            <w:r>
              <w:t xml:space="preserve">Corporate Licensing (5+ seats)</w:t>
            </w:r>
          </w:p>
        </w:tc>
        <w:tc>
          <w:tcPr/>
          <w:p>
            <w:pPr>
              <w:pStyle w:val="Compact"/>
              <w:jc w:val="left"/>
            </w:pPr>
            <w:r>
              <w:t xml:space="preserve">9,680</w:t>
            </w:r>
          </w:p>
        </w:tc>
        <w:tc>
          <w:tcPr/>
          <w:p>
            <w:pPr>
              <w:pStyle w:val="Compact"/>
              <w:jc w:val="left"/>
            </w:pPr>
            <w:r>
              <w:t xml:space="preserve">+11.3%</w:t>
            </w:r>
          </w:p>
        </w:tc>
        <w:tc>
          <w:tcPr/>
          <w:p>
            <w:pPr>
              <w:pStyle w:val="Compact"/>
              <w:jc w:val="left"/>
            </w:pPr>
            <w:r>
              <w:t xml:space="preserve">5%</w:t>
            </w:r>
          </w:p>
        </w:tc>
      </w:tr>
    </w:tbl>
    <w:p>
      <w:pPr>
        <w:pStyle w:val="BodyText"/>
      </w:pPr>
      <w:r>
        <w:t xml:space="preserve">The standout performer was the Digital Subscription segment, where Toronto achieved a 22% market penetration among senior executives in the city’s top 200 firms—a testament to The Economist's reputation for delivering actionable insights on global trade policy affecting Canadian exporters. Print subscriptions declined modestly (-3.1%), consistent with national trends, but were offset by strong corporate license uptake driven by Toronto-based fintech firms expanding into emerging markets.</w:t>
      </w:r>
    </w:p>
    <w:bookmarkEnd w:id="22"/>
    <w:bookmarkStart w:id="23" w:name="X2441f3e2ee3acb86ec815e8c41f8e23f838dcce"/>
    <w:p>
      <w:pPr>
        <w:pStyle w:val="Heading2"/>
      </w:pPr>
      <w:r>
        <w:t xml:space="preserve">Key Insights: Why Toronto Responds to The Economist</w:t>
      </w:r>
    </w:p>
    <w:p>
      <w:pPr>
        <w:numPr>
          <w:ilvl w:val="0"/>
          <w:numId w:val="1001"/>
        </w:numPr>
        <w:pStyle w:val="Compact"/>
      </w:pPr>
      <w:r>
        <w:rPr>
          <w:bCs/>
          <w:b/>
        </w:rPr>
        <w:t xml:space="preserve">Policy Relevance:</w:t>
      </w:r>
      <w:r>
        <w:t xml:space="preserve"> </w:t>
      </w:r>
      <w:r>
        <w:t xml:space="preserve">73% of Toronto subscribers cited The Economist's coverage of the Canada-U.S. border security framework as a decisive factor in their subscription renewal, directly aligning with Ontario’s priority on cross-border trade efficiency.</w:t>
      </w:r>
    </w:p>
    <w:p>
      <w:pPr>
        <w:numPr>
          <w:ilvl w:val="0"/>
          <w:numId w:val="1001"/>
        </w:numPr>
        <w:pStyle w:val="Compact"/>
      </w:pPr>
      <w:r>
        <w:rPr>
          <w:bCs/>
          <w:b/>
        </w:rPr>
        <w:t xml:space="preserve">Data-Driven Storytelling:</w:t>
      </w:r>
      <w:r>
        <w:t xml:space="preserve"> </w:t>
      </w:r>
      <w:r>
        <w:t xml:space="preserve">Articles analyzing Toronto's housing market volatility and its impact on Canadian GDP growth drove 28% more digital engagement than standard business reports, proving The Economist's analytical depth resonates with local economic concerns.</w:t>
      </w:r>
    </w:p>
    <w:p>
      <w:pPr>
        <w:numPr>
          <w:ilvl w:val="0"/>
          <w:numId w:val="1001"/>
        </w:numPr>
        <w:pStyle w:val="Compact"/>
      </w:pPr>
      <w:r>
        <w:rPr>
          <w:bCs/>
          <w:b/>
        </w:rPr>
        <w:t xml:space="preserve">Event Synergy:</w:t>
      </w:r>
      <w:r>
        <w:t xml:space="preserve"> </w:t>
      </w:r>
      <w:r>
        <w:t xml:space="preserve">Attendance at "The Economist Toronto Summit" (October 12-14, 2023) generated a 35% lead conversion rate among professionals seeking market intelligence on the Bank of Canada's interest rate trajectory.</w:t>
      </w:r>
    </w:p>
    <w:bookmarkEnd w:id="23"/>
    <w:bookmarkStart w:id="24" w:name="challenges-in-canada-toronto-market"/>
    <w:p>
      <w:pPr>
        <w:pStyle w:val="Heading2"/>
      </w:pPr>
      <w:r>
        <w:t xml:space="preserve">Challenges in Canada Toronto Market</w:t>
      </w:r>
    </w:p>
    <w:p>
      <w:pPr>
        <w:pStyle w:val="FirstParagraph"/>
      </w:pPr>
      <w:r>
        <w:t xml:space="preserve">Despite strong growth, The Economist faced two key challenges in the Toronto market:</w:t>
      </w:r>
    </w:p>
    <w:p>
      <w:pPr>
        <w:numPr>
          <w:ilvl w:val="0"/>
          <w:numId w:val="1002"/>
        </w:numPr>
        <w:pStyle w:val="Compact"/>
      </w:pPr>
      <w:r>
        <w:rPr>
          <w:bCs/>
          <w:b/>
        </w:rPr>
        <w:t xml:space="preserve">Content Localization Pressure:</w:t>
      </w:r>
      <w:r>
        <w:t xml:space="preserve"> </w:t>
      </w:r>
      <w:r>
        <w:t xml:space="preserve">41% of surveyed Toronto readers requested more frequent coverage of Ontario-specific policies (e.g., Bill 195 on AI governance), though editorial constraints limit country-focused exclusivity. The solution implemented was a dedicated "Canada Pulse" newsletter—launched Q3—which boosted subscriber retention by 9%.</w:t>
      </w:r>
    </w:p>
    <w:p>
      <w:pPr>
        <w:numPr>
          <w:ilvl w:val="0"/>
          <w:numId w:val="1002"/>
        </w:numPr>
        <w:pStyle w:val="Compact"/>
      </w:pPr>
      <w:r>
        <w:rPr>
          <w:bCs/>
          <w:b/>
        </w:rPr>
        <w:t xml:space="preserve">Competitive Landscape:</w:t>
      </w:r>
      <w:r>
        <w:t xml:space="preserve"> </w:t>
      </w:r>
      <w:r>
        <w:t xml:space="preserve">Local publications like Financial Post and Toronto Star increased digital advertising, capturing 12% of Toronto business readers' attention. Counter-strategy: The Economist introduced a "Toronto Premium Package" including exclusive access to its executive briefings at the TD Centre, creating a premium differentiator.</w:t>
      </w:r>
    </w:p>
    <w:bookmarkEnd w:id="24"/>
    <w:bookmarkStart w:id="25" w:name="X62fba1cadaa92b4a2f02f90f5e5bbbf51b01fae"/>
    <w:p>
      <w:pPr>
        <w:pStyle w:val="Heading2"/>
      </w:pPr>
      <w:r>
        <w:t xml:space="preserve">Strategic Recommendations for Canada Toronto Growth</w:t>
      </w:r>
    </w:p>
    <w:p>
      <w:pPr>
        <w:pStyle w:val="FirstParagraph"/>
      </w:pPr>
      <w:r>
        <w:t xml:space="preserve">To sustain momentum in this critical Canada Toronto market, The Economist must implement these data-backed initiatives:</w:t>
      </w:r>
    </w:p>
    <w:p>
      <w:pPr>
        <w:numPr>
          <w:ilvl w:val="0"/>
          <w:numId w:val="1003"/>
        </w:numPr>
        <w:pStyle w:val="Compact"/>
      </w:pPr>
      <w:r>
        <w:rPr>
          <w:bCs/>
          <w:b/>
        </w:rPr>
        <w:t xml:space="preserve">Hyper-Local Content Hubs:</w:t>
      </w:r>
      <w:r>
        <w:t xml:space="preserve"> </w:t>
      </w:r>
      <w:r>
        <w:t xml:space="preserve">Establish a dedicated Toronto editorial team to produce 3+ weekly insights on Ontario-specific regulatory shifts (e.g., hydroelectric policy impacts), directly addressing the top reader request from our Q3 survey.</w:t>
      </w:r>
    </w:p>
    <w:p>
      <w:pPr>
        <w:numPr>
          <w:ilvl w:val="0"/>
          <w:numId w:val="1003"/>
        </w:numPr>
        <w:pStyle w:val="Compact"/>
      </w:pPr>
      <w:r>
        <w:rPr>
          <w:bCs/>
          <w:b/>
        </w:rPr>
        <w:t xml:space="preserve">Cross-Promotional Partnerships:</w:t>
      </w:r>
      <w:r>
        <w:t xml:space="preserve"> </w:t>
      </w:r>
      <w:r>
        <w:t xml:space="preserve">Forge alliances with Toronto-based institutions like the Rotman School of Management and RBC for co-branded events. This leverages Toronto's academic-commercial ecosystem to drive corporate subscriptions—projected to add $285K in annual revenue.</w:t>
      </w:r>
    </w:p>
    <w:p>
      <w:pPr>
        <w:numPr>
          <w:ilvl w:val="0"/>
          <w:numId w:val="1003"/>
        </w:numPr>
        <w:pStyle w:val="Compact"/>
      </w:pPr>
      <w:r>
        <w:rPr>
          <w:bCs/>
          <w:b/>
        </w:rPr>
        <w:t xml:space="preserve">Digital Engagement Optimization:</w:t>
      </w:r>
      <w:r>
        <w:t xml:space="preserve"> </w:t>
      </w:r>
      <w:r>
        <w:t xml:space="preserve">Introduce a "Toronto Dashboard" feature within the app showing real-time economic indicators (employment stats, housing affordability) correlated with The Economist’s global analysis. This meets Toronto professionals’ demand for actionable local data.</w:t>
      </w:r>
    </w:p>
    <w:p>
      <w:pPr>
        <w:numPr>
          <w:ilvl w:val="0"/>
          <w:numId w:val="1003"/>
        </w:numPr>
        <w:pStyle w:val="Compact"/>
      </w:pPr>
      <w:r>
        <w:rPr>
          <w:bCs/>
          <w:b/>
        </w:rPr>
        <w:t xml:space="preserve">Government Engagement Program:</w:t>
      </w:r>
      <w:r>
        <w:t xml:space="preserve"> </w:t>
      </w:r>
      <w:r>
        <w:t xml:space="preserve">Target Ontario Ministry of Finance officials through customized policy briefs on topics like Canada's new carbon tax framework, positioning The Economist as an indispensable strategic partner rather than just a publication.</w:t>
      </w:r>
    </w:p>
    <w:bookmarkEnd w:id="25"/>
    <w:bookmarkStart w:id="26" w:name="Xe1ee621f0acee692af3e5dad62cc82044855536"/>
    <w:p>
      <w:pPr>
        <w:pStyle w:val="Heading2"/>
      </w:pPr>
      <w:r>
        <w:t xml:space="preserve">Conclusion: The Economist's Toronto Imperative</w:t>
      </w:r>
    </w:p>
    <w:p>
      <w:pPr>
        <w:pStyle w:val="FirstParagraph"/>
      </w:pPr>
      <w:r>
        <w:t xml:space="preserve">The Q3 2023 Sales Report confirms that The Economist is not merely succeeding in Canada Toronto—it is becoming the cornerstone of strategic decision-making for the city’s economic leadership. With a 14.7% YoY growth rate, Toronto now represents 28% of all Canadian subscription revenue, far exceeding national averages (18%). As Canada positions itself as a global leader in AI governance and green finance—priorities central to The Economist’s editorial mission—the publication's relevance in this market is accelerating.</w:t>
      </w:r>
    </w:p>
    <w:p>
      <w:pPr>
        <w:pStyle w:val="BodyText"/>
      </w:pPr>
      <w:r>
        <w:t xml:space="preserve">Looking ahead, Toronto must remain the flagship for our North American expansion. Every strategic initiative—from content localization to corporate partnerships—will be measured by its impact on Canada Toronto's market share. The data is unequivocal: when The Economist delivers context that resonates with the unique pressures of Toronto’s economy, subscription growth follows. This is not just a sales opportunity; it is the foundation for cementing The Economist as Canada's definitive business intelligence partner.</w:t>
      </w:r>
    </w:p>
    <w:p>
      <w:pPr>
        <w:pStyle w:val="BodyText"/>
      </w:pPr>
      <w:r>
        <w:rPr>
          <w:iCs/>
          <w:i/>
        </w:rPr>
        <w:t xml:space="preserve">Prepared by Global Sales Analytics Division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Canada Toronto Market</dc:title>
  <dc:creator/>
  <dc:language>en</dc:language>
  <cp:keywords/>
  <dcterms:created xsi:type="dcterms:W3CDTF">2026-07-24T00:19:57Z</dcterms:created>
  <dcterms:modified xsi:type="dcterms:W3CDTF">2026-07-24T00:19:57Z</dcterms:modified>
</cp:coreProperties>
</file>

<file path=docProps/custom.xml><?xml version="1.0" encoding="utf-8"?>
<Properties xmlns="http://schemas.openxmlformats.org/officeDocument/2006/custom-properties" xmlns:vt="http://schemas.openxmlformats.org/officeDocument/2006/docPropsVTypes"/>
</file>