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Chile</w:t>
      </w:r>
      <w:r>
        <w:t xml:space="preserve"> </w:t>
      </w:r>
      <w:r>
        <w:t xml:space="preserve">Santiago</w:t>
      </w:r>
      <w:r>
        <w:t xml:space="preserve"> </w:t>
      </w:r>
      <w:r>
        <w:t xml:space="preserve">Market</w:t>
      </w:r>
    </w:p>
    <w:bookmarkStart w:id="28" w:name="X421eb9a6ba6665135dbb4e08830d471b7b0c2cc"/>
    <w:p>
      <w:pPr>
        <w:pStyle w:val="Heading1"/>
      </w:pPr>
      <w:r>
        <w:t xml:space="preserve">Sales Report: The Economist Subscription Performance in Chile Santiago (Q3 2023)</w:t>
      </w:r>
    </w:p>
    <w:p>
      <w:pPr>
        <w:pStyle w:val="FirstParagraph"/>
      </w:pPr>
      <w:r>
        <w:rPr>
          <w:bCs/>
          <w:b/>
        </w:rPr>
        <w:t xml:space="preserve">Prepared For:</w:t>
      </w:r>
      <w:r>
        <w:t xml:space="preserve"> </w:t>
      </w:r>
      <w:r>
        <w:t xml:space="preserve">Global Sales Leadership, The Economist Group</w:t>
      </w:r>
      <w:r>
        <w:br/>
      </w:r>
      <w:r>
        <w:rPr>
          <w:bCs/>
          <w:b/>
        </w:rPr>
        <w:t xml:space="preserve">Date:</w:t>
      </w:r>
      <w:r>
        <w:t xml:space="preserve"> </w:t>
      </w:r>
      <w:r>
        <w:t xml:space="preserve">October 26, 2023</w:t>
      </w:r>
      <w:r>
        <w:br/>
      </w:r>
      <w:r>
        <w:rPr>
          <w:bCs/>
          <w:b/>
        </w:rPr>
        <w:t xml:space="preserve">Region Covered:</w:t>
      </w:r>
      <w:r>
        <w:t xml:space="preserve"> </w:t>
      </w:r>
      <w:r>
        <w:t xml:space="preserve">Santiago, Chile</w:t>
      </w:r>
    </w:p>
    <w:bookmarkStart w:id="20" w:name="executive-summary"/>
    <w:p>
      <w:pPr>
        <w:pStyle w:val="Heading2"/>
      </w:pPr>
      <w:r>
        <w:t xml:space="preserve">Executive Summary</w:t>
      </w:r>
    </w:p>
    <w:p>
      <w:pPr>
        <w:pStyle w:val="FirstParagraph"/>
      </w:pPr>
      <w:r>
        <w:t xml:space="preserve">The Economist continues to demonstrate robust growth and market leadership in the premium business intelligence segment within Chile Santiago. This Q3 sales report details significant subscription expansion, strategic channel performance, and actionable insights for sustaining momentum in the Chilean market. The Economist’s unique value proposition—combining global economic analysis with hyper-relevant coverage of Latin American markets—has driven a 22% year-over-year increase in paid subscriptions across Santiago, solidifying its position as the preferred digital and print resource for Chile's corporate decision-makers. This growth underscores the critical importance of localized content tailored to Chile Santiago's economic landscape.</w:t>
      </w:r>
    </w:p>
    <w:bookmarkEnd w:id="20"/>
    <w:bookmarkStart w:id="21" w:name="X04183ef3795491c72df73d4170d01b3cc6d273b"/>
    <w:p>
      <w:pPr>
        <w:pStyle w:val="Heading2"/>
      </w:pPr>
      <w:r>
        <w:t xml:space="preserve">Market Context: Chile Santiago Economic Landscape</w:t>
      </w:r>
    </w:p>
    <w:p>
      <w:pPr>
        <w:pStyle w:val="FirstParagraph"/>
      </w:pPr>
      <w:r>
        <w:t xml:space="preserve">Santiago, as the economic heart of Chile, serves as a pivotal market for premium business publications. The city houses 70% of Chile’s Fortune 500 companies and is the hub for major financial institutions, multinationals operating in Latin America, and government economic policy bodies. In Q3 2023, Chile’s economy showed moderate resilience (GDP growth of 1.5%) amidst global volatility and regional political dynamics. Businesses in Santiago demand forward-looking insights on copper market fluctuations, trade policy shifts (particularly with the USMCA), climate-resilient investment strategies, and Chile’s digital transformation agenda—areas where The Economist delivers unmatched analytical depth.</w:t>
      </w:r>
    </w:p>
    <w:bookmarkEnd w:id="21"/>
    <w:bookmarkStart w:id="22" w:name="X1a0f3f8418b1bc13cb5adce307bca4d6a165bbd"/>
    <w:p>
      <w:pPr>
        <w:pStyle w:val="Heading2"/>
      </w:pPr>
      <w:r>
        <w:t xml:space="preserve">Q3 2023 Subscription Performance: Key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Subscriptions Sold (Q3)</w:t>
            </w:r>
          </w:p>
        </w:tc>
        <w:tc>
          <w:tcPr/>
          <w:p>
            <w:pPr>
              <w:pStyle w:val="Compact"/>
              <w:jc w:val="left"/>
            </w:pPr>
            <w:r>
              <w:t xml:space="preserve">YoY Growth</w:t>
            </w:r>
          </w:p>
        </w:tc>
        <w:tc>
          <w:tcPr/>
          <w:p>
            <w:pPr>
              <w:pStyle w:val="Compact"/>
              <w:jc w:val="left"/>
            </w:pPr>
            <w:r>
              <w:t xml:space="preserve">Key Success Driver</w:t>
            </w:r>
          </w:p>
        </w:tc>
        <w:tc>
          <w:tcPr/>
          <w:p>
            <w:pPr>
              <w:pStyle w:val="Compact"/>
            </w:pPr>
          </w:p>
        </w:tc>
      </w:tr>
      <w:tr>
        <w:tc>
          <w:tcPr/>
          <w:p>
            <w:pPr>
              <w:pStyle w:val="Compact"/>
              <w:jc w:val="left"/>
            </w:pPr>
            <w:r>
              <w:t xml:space="preserve">Direct Digital Subscriptions (Web/App)</w:t>
            </w:r>
          </w:p>
        </w:tc>
        <w:tc>
          <w:tcPr/>
          <w:p>
            <w:pPr>
              <w:pStyle w:val="Compact"/>
              <w:jc w:val="left"/>
            </w:pPr>
            <w:r>
              <w:t xml:space="preserve">1,240</w:t>
            </w:r>
          </w:p>
        </w:tc>
        <w:tc>
          <w:tcPr/>
          <w:p>
            <w:pPr>
              <w:pStyle w:val="Compact"/>
              <w:jc w:val="left"/>
            </w:pPr>
            <w:r>
              <w:t xml:space="preserve">+28%</w:t>
            </w:r>
          </w:p>
        </w:tc>
        <w:tc>
          <w:tcPr/>
          <w:p>
            <w:pPr>
              <w:pStyle w:val="Compact"/>
              <w:jc w:val="left"/>
            </w:pPr>
            <w:r>
              <w:t xml:space="preserve">Campaign targeting CFOs &amp; Investment Directors in Santiago-based multinationals</w:t>
            </w:r>
          </w:p>
        </w:tc>
        <w:tc>
          <w:tcPr/>
          <w:p>
            <w:pPr>
              <w:pStyle w:val="Compact"/>
            </w:pPr>
          </w:p>
        </w:tc>
      </w:tr>
      <w:tr>
        <w:tc>
          <w:tcPr/>
          <w:p>
            <w:pPr>
              <w:pStyle w:val="Compact"/>
              <w:jc w:val="left"/>
            </w:pPr>
            <w:r>
              <w:t xml:space="preserve">Corporate Group Sales (B2B)</w:t>
            </w:r>
          </w:p>
        </w:tc>
        <w:tc>
          <w:tcPr/>
          <w:p>
            <w:pPr>
              <w:pStyle w:val="Compact"/>
              <w:jc w:val="left"/>
            </w:pPr>
            <w:r>
              <w:t xml:space="preserve">890</w:t>
            </w:r>
          </w:p>
        </w:tc>
        <w:tc>
          <w:tcPr>
            <w:gridSpan w:val="3"/>
          </w:tcPr>
          <w:p>
            <w:pPr>
              <w:pStyle w:val="Compact"/>
              <w:jc w:val="left"/>
            </w:pPr>
            <w:r>
              <w:t xml:space="preserve">Santiago Corporate Account Highlights:</w:t>
            </w:r>
          </w:p>
        </w:tc>
      </w:tr>
    </w:tbl>
    <w:p>
      <w:pPr>
        <w:pStyle w:val="BodyText"/>
      </w:pPr>
      <w:r>
        <w:t xml:space="preserve">The Economist’s Chile Santiago B2B team achieved a record 40% increase in corporate group sales, securing 15 new institutional contracts with major clients including Banco de Chile, SQM, and Codelco. These agreements were driven by bespoke content packages analyzing Chile's recent energy policy reforms and mining sector sustainability mandates—a direct response to Santiago-based executives' urgent operational concerns.</w:t>
      </w:r>
    </w:p>
    <w:bookmarkEnd w:id="22"/>
    <w:bookmarkStart w:id="23" w:name="X7fb3e44ee02a7ae9c6b03ab946512b21a070e48"/>
    <w:p>
      <w:pPr>
        <w:pStyle w:val="Heading2"/>
      </w:pPr>
      <w:r>
        <w:t xml:space="preserve">Consumer Segmentation &amp; Demand Drivers in Santiago</w:t>
      </w:r>
    </w:p>
    <w:p>
      <w:pPr>
        <w:pStyle w:val="FirstParagraph"/>
      </w:pPr>
      <w:r>
        <w:t xml:space="preserve">Analysis reveals three high-value segments driving The Economist's success in Chile Santiago:</w:t>
      </w:r>
    </w:p>
    <w:p>
      <w:pPr>
        <w:numPr>
          <w:ilvl w:val="0"/>
          <w:numId w:val="1001"/>
        </w:numPr>
        <w:pStyle w:val="Compact"/>
      </w:pPr>
      <w:r>
        <w:rPr>
          <w:bCs/>
          <w:b/>
        </w:rPr>
        <w:t xml:space="preserve">C-Suite Executives (45% of new sign-ups):</w:t>
      </w:r>
      <w:r>
        <w:t xml:space="preserve"> </w:t>
      </w:r>
      <w:r>
        <w:t xml:space="preserve">Prioritize the magazine’s "Leadership Briefing" and Country Analysis reports focused on Chile’s macroeconomic risks. Content on Central Bank policy shifts was cited by 78% of new subscribers as the primary purchase driver.</w:t>
      </w:r>
    </w:p>
    <w:p>
      <w:pPr>
        <w:numPr>
          <w:ilvl w:val="0"/>
          <w:numId w:val="1001"/>
        </w:numPr>
        <w:pStyle w:val="Compact"/>
      </w:pPr>
      <w:r>
        <w:rPr>
          <w:bCs/>
          <w:b/>
        </w:rPr>
        <w:t xml:space="preserve">Investment Firms (30%):</w:t>
      </w:r>
      <w:r>
        <w:t xml:space="preserve"> </w:t>
      </w:r>
      <w:r>
        <w:t xml:space="preserve">Value real-time market commentary in the Daily Briefing, particularly coverage of Chile's sovereign bond yields and ESG compliance frameworks. A targeted LinkedIn campaign featuring Santiago-based analysts’ insights generated 200+ qualified leads.</w:t>
      </w:r>
    </w:p>
    <w:p>
      <w:pPr>
        <w:numPr>
          <w:ilvl w:val="0"/>
          <w:numId w:val="1001"/>
        </w:numPr>
        <w:pStyle w:val="Compact"/>
      </w:pPr>
      <w:r>
        <w:rPr>
          <w:bCs/>
          <w:b/>
        </w:rPr>
        <w:t xml:space="preserve">Government &amp; Policy Makers (18%):</w:t>
      </w:r>
      <w:r>
        <w:t xml:space="preserve"> </w:t>
      </w:r>
      <w:r>
        <w:t xml:space="preserve">Utilize "The Economist Intelligence Unit" reports on Chilean regulatory changes, with subscription renewals up 35% after the government’s new mining law announcement.</w:t>
      </w:r>
    </w:p>
    <w:bookmarkEnd w:id="23"/>
    <w:bookmarkStart w:id="24" w:name="X090efc08ca0085e4e6a0a9d9320b0cb6b4f03d3"/>
    <w:p>
      <w:pPr>
        <w:pStyle w:val="Heading2"/>
      </w:pPr>
      <w:r>
        <w:t xml:space="preserve">Competitive Positioning in Chile Santiago</w:t>
      </w:r>
    </w:p>
    <w:p>
      <w:pPr>
        <w:pStyle w:val="FirstParagraph"/>
      </w:pPr>
      <w:r>
        <w:t xml:space="preserve">The Economist maintains a commanding 68% market share among premium business publications in Santiago, outperforming competitors like Bloomberg and Reuters by 15 percentage points for subscription growth. This advantage stems from two factors: (1) Our exclusive "Latin America Focus" section published bi-weekly with Santiago-based correspondents, and (2) Strategic partnerships with local institutions like the Instituto de Economía of PUC Chile for joint research events. Competitors lack comparable localized depth—Bloomberg's content remains globally generic without Chile-specific nuance.</w:t>
      </w:r>
    </w:p>
    <w:bookmarkEnd w:id="24"/>
    <w:bookmarkStart w:id="25" w:name="challenges-strategic-response"/>
    <w:p>
      <w:pPr>
        <w:pStyle w:val="Heading2"/>
      </w:pPr>
      <w:r>
        <w:t xml:space="preserve">Challenges &amp; Strategic Response</w:t>
      </w:r>
    </w:p>
    <w:p>
      <w:pPr>
        <w:pStyle w:val="FirstParagraph"/>
      </w:pPr>
      <w:r>
        <w:t xml:space="preserve">Despite strong growth, two challenges emerged in the Santiago market:</w:t>
      </w:r>
    </w:p>
    <w:p>
      <w:pPr>
        <w:numPr>
          <w:ilvl w:val="0"/>
          <w:numId w:val="1002"/>
        </w:numPr>
        <w:pStyle w:val="Compact"/>
      </w:pPr>
      <w:r>
        <w:rPr>
          <w:iCs/>
          <w:i/>
        </w:rPr>
        <w:t xml:space="preserve">Price Sensitivity:</w:t>
      </w:r>
      <w:r>
        <w:t xml:space="preserve"> </w:t>
      </w:r>
      <w:r>
        <w:t xml:space="preserve">18% of potential subscribers cited cost as a barrier. *Response:* Launched a "Santiago Business Tier" at $49/month (25% below standard) with exclusive access to Chile-specific webinars.</w:t>
      </w:r>
    </w:p>
    <w:p>
      <w:pPr>
        <w:numPr>
          <w:ilvl w:val="0"/>
          <w:numId w:val="1002"/>
        </w:numPr>
        <w:pStyle w:val="Compact"/>
      </w:pPr>
      <w:r>
        <w:rPr>
          <w:iCs/>
          <w:i/>
        </w:rPr>
        <w:t xml:space="preserve">Digital Adoption Gap:</w:t>
      </w:r>
      <w:r>
        <w:t xml:space="preserve"> </w:t>
      </w:r>
      <w:r>
        <w:t xml:space="preserve">Older corporate clients preferred print. *Response:* Implemented free digital conversion for all print subscribers, increasing digital engagement by 37% within 60 days.</w:t>
      </w:r>
    </w:p>
    <w:bookmarkEnd w:id="25"/>
    <w:bookmarkStart w:id="26" w:name="X85208d5ece9df39c4b500459f1cf0e359da3d6b"/>
    <w:p>
      <w:pPr>
        <w:pStyle w:val="Heading2"/>
      </w:pPr>
      <w:r>
        <w:t xml:space="preserve">Q4 2023 Strategic Initiatives for Chile Santiago</w:t>
      </w:r>
    </w:p>
    <w:p>
      <w:pPr>
        <w:pStyle w:val="FirstParagraph"/>
      </w:pPr>
      <w:r>
        <w:t xml:space="preserve">To capitalize on momentum, the following initiatives are prioritized:</w:t>
      </w:r>
    </w:p>
    <w:p>
      <w:pPr>
        <w:numPr>
          <w:ilvl w:val="0"/>
          <w:numId w:val="1003"/>
        </w:numPr>
        <w:pStyle w:val="Compact"/>
      </w:pPr>
      <w:r>
        <w:rPr>
          <w:bCs/>
          <w:b/>
        </w:rPr>
        <w:t xml:space="preserve">Santiago Economic Summit:</w:t>
      </w:r>
      <w:r>
        <w:t xml:space="preserve"> </w:t>
      </w:r>
      <w:r>
        <w:t xml:space="preserve">Host a closed-door event with The Economist’s Chief Analyst at the Rettig Hotel (Nov 15) targeting 100+ Chilean corporate leaders. Focus: "Chile's Path to Sustainable Growth Post-Election."</w:t>
      </w:r>
    </w:p>
    <w:p>
      <w:pPr>
        <w:numPr>
          <w:ilvl w:val="0"/>
          <w:numId w:val="1003"/>
        </w:numPr>
        <w:pStyle w:val="Compact"/>
      </w:pPr>
      <w:r>
        <w:rPr>
          <w:bCs/>
          <w:b/>
        </w:rPr>
        <w:t xml:space="preserve">Localized Content Expansion:</w:t>
      </w:r>
      <w:r>
        <w:t xml:space="preserve"> </w:t>
      </w:r>
      <w:r>
        <w:t xml:space="preserve">Launch "Chile Insights" newsletter co-authored by Santiago-based contributors, delivering weekly analysis on copper price impacts and tax policy changes.</w:t>
      </w:r>
    </w:p>
    <w:p>
      <w:pPr>
        <w:numPr>
          <w:ilvl w:val="0"/>
          <w:numId w:val="1003"/>
        </w:numPr>
        <w:pStyle w:val="Compact"/>
      </w:pPr>
      <w:r>
        <w:rPr>
          <w:bCs/>
          <w:b/>
        </w:rPr>
        <w:t xml:space="preserve">University Partnerships:</w:t>
      </w:r>
      <w:r>
        <w:t xml:space="preserve"> </w:t>
      </w:r>
      <w:r>
        <w:t xml:space="preserve">Collaborate with Universidad Católica de Chile to embed The Economist’s economic data into MBA curriculum—targeting 500+ student subscriptions for future leadership pipelines.</w:t>
      </w:r>
    </w:p>
    <w:bookmarkEnd w:id="26"/>
    <w:bookmarkStart w:id="27" w:name="conclusion"/>
    <w:p>
      <w:pPr>
        <w:pStyle w:val="Heading2"/>
      </w:pPr>
      <w:r>
        <w:t xml:space="preserve">Conclusion</w:t>
      </w:r>
    </w:p>
    <w:p>
      <w:pPr>
        <w:pStyle w:val="FirstParagraph"/>
      </w:pPr>
      <w:r>
        <w:t xml:space="preserve">The Economist’s performance in Chile Santiago demonstrates the power of hyper-localized premium content in a sophisticated business market. With Q3 growth significantly outpacing regional averages, The Economist has become indispensable to Santiago’s economic ecosystem. Our success is directly tied to understanding Chile-specific challenges—copper volatility, regulatory shifts, and ESG imperatives—and delivering actionable insights through The Economist’s trusted global lens. Moving forward, doubling down on Santiago-centric content while maintaining our global editorial rigor will cement our leadership position. This report confirms that The Economist isn’t merely a publication in Chile Santiago—it is the essential intelligence partner for navigating Chile’s complex economic future.</w:t>
      </w:r>
    </w:p>
    <w:p>
      <w:pPr>
        <w:pStyle w:val="BodyText"/>
      </w:pPr>
      <w:r>
        <w:rPr>
          <w:bCs/>
          <w:b/>
        </w:rPr>
        <w:t xml:space="preserve">Key Metric Recap:</w:t>
      </w:r>
      <w:r>
        <w:t xml:space="preserve"> </w:t>
      </w:r>
      <w:r>
        <w:t xml:space="preserve">22% YoY Growth | 68% Market Share | 15 New Corporate Contracts (Q3) | $49 "Santiago Business Tier" Conversion Rate: 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 Chile Santiago Market</dc:title>
  <dc:creator/>
  <dc:language>en</dc:language>
  <cp:keywords/>
  <dcterms:created xsi:type="dcterms:W3CDTF">2026-07-21T06:05:54Z</dcterms:created>
  <dcterms:modified xsi:type="dcterms:W3CDTF">2026-07-21T06:05:54Z</dcterms:modified>
</cp:coreProperties>
</file>

<file path=docProps/custom.xml><?xml version="1.0" encoding="utf-8"?>
<Properties xmlns="http://schemas.openxmlformats.org/officeDocument/2006/custom-properties" xmlns:vt="http://schemas.openxmlformats.org/officeDocument/2006/docPropsVTypes"/>
</file>