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China</w:t>
      </w:r>
      <w:r>
        <w:t xml:space="preserve"> </w:t>
      </w:r>
      <w:r>
        <w:t xml:space="preserve">Beijing</w:t>
      </w:r>
      <w:r>
        <w:t xml:space="preserve"> </w:t>
      </w:r>
      <w:r>
        <w:t xml:space="preserve">Market</w:t>
      </w:r>
    </w:p>
    <w:bookmarkStart w:id="26" w:name="Xc6a394d43bf314905f65cee672a1a748519f2a0"/>
    <w:p>
      <w:pPr>
        <w:pStyle w:val="Heading1"/>
      </w:pPr>
      <w:r>
        <w:t xml:space="preserve">SALES REPORT FOR THE ECONOMIST IN CHINA BEIJING</w:t>
      </w:r>
    </w:p>
    <w:p>
      <w:pPr>
        <w:pStyle w:val="FirstParagraph"/>
      </w:pPr>
      <w:r>
        <w:t xml:space="preserve">Prepared for Executive Leadership | Q3 2024</w:t>
      </w:r>
    </w:p>
    <w:bookmarkStart w:id="20" w:name="executive-summary"/>
    <w:p>
      <w:pPr>
        <w:pStyle w:val="Heading2"/>
      </w:pPr>
      <w:r>
        <w:t xml:space="preserve">Executive Summary</w:t>
      </w:r>
    </w:p>
    <w:p>
      <w:pPr>
        <w:pStyle w:val="FirstParagraph"/>
      </w:pPr>
      <w:r>
        <w:t xml:space="preserve">This Sales Report presents a comprehensive analysis of The Economist's performance in the China Beijing market during Q3 2024. As one of the world's premier publications, The Economist continues to establish its strategic footprint in Beijing—a pivotal hub for international business, diplomacy, and policy-making within China. Our sales data reveals significant growth across digital subscriptions and enterprise packages, with a 18% year-over-year increase in Beijing-specific revenue streams. This document underscores how The Economist's distinctive analytical rigor resonates with decision-makers navigating China's complex economic landscape. The report confirms that our brand remains uniquely positioned to serve the demanding professional audience in China Beijing, where high-value content is increasingly sought after for strategic business intelligence.</w:t>
      </w:r>
    </w:p>
    <w:bookmarkEnd w:id="20"/>
    <w:bookmarkStart w:id="21" w:name="X156718f435891d3c29fc7342fe042e483227c6a"/>
    <w:p>
      <w:pPr>
        <w:pStyle w:val="Heading2"/>
      </w:pPr>
      <w:r>
        <w:t xml:space="preserve">Market Analysis: The Economist's Position in China Beijing</w:t>
      </w:r>
    </w:p>
    <w:p>
      <w:pPr>
        <w:pStyle w:val="FirstParagraph"/>
      </w:pPr>
      <w:r>
        <w:t xml:space="preserve">The China Beijing market represents a critical frontier for The Economist's global expansion. As the capital city hosts multinational corporations, government think tanks (including the Development Research Center of the State Council), and diplomatic missions, demand for authoritative economic analysis has surged. Our Q3 data shows that 68% of new subscriptions in China Beijing originated from corporate accounts—primarily finance, consulting, and tech firms establishing regional headquarters in the city. This contrasts sharply with other Chinese markets where individual consumer subscriptions dominate.</w:t>
      </w:r>
    </w:p>
    <w:p>
      <w:pPr>
        <w:pStyle w:val="BodyText"/>
      </w:pPr>
      <w:r>
        <w:t xml:space="preserve">Crucially, The Economist's unique value proposition—combining geopolitical insight with data-driven economic analysis—has proven particularly relevant to Beijing's professional ecosystem. While local publications like Caixin and 36氪 focus on domestic policy, The Economist offers cross-border context that multinational executives require. In our China Beijing client survey (conducted September 2024), 89% of enterprise subscribers cited "global perspective on China's economic policies" as their primary reason for choosing The Economist over competitors. This differentiator positions us as indispensable for understanding how global trends intersect with Beijing's strategic priorities.</w:t>
      </w:r>
    </w:p>
    <w:bookmarkEnd w:id="21"/>
    <w:bookmarkStart w:id="22" w:name="sales-performance-highlights"/>
    <w:p>
      <w:pPr>
        <w:pStyle w:val="Heading2"/>
      </w:pPr>
      <w:r>
        <w:t xml:space="preserve">Sales Performance Highlights</w:t>
      </w:r>
    </w:p>
    <w:p>
      <w:pPr>
        <w:pStyle w:val="FirstParagraph"/>
      </w:pPr>
      <w:r>
        <w:t xml:space="preserve">Q3 2024 marked a breakthrough quarter for The Economist in China Beijing. Total sales revenue reached ¥18.7 million (up 18.3% YoY), driven by three key segments:</w:t>
      </w:r>
    </w:p>
    <w:p>
      <w:pPr>
        <w:numPr>
          <w:ilvl w:val="0"/>
          <w:numId w:val="1001"/>
        </w:numPr>
        <w:pStyle w:val="Compact"/>
      </w:pPr>
      <w:r>
        <w:rPr>
          <w:bCs/>
          <w:b/>
        </w:rPr>
        <w:t xml:space="preserve">Enterprise Subscriptions:</w:t>
      </w:r>
      <w:r>
        <w:t xml:space="preserve"> </w:t>
      </w:r>
      <w:r>
        <w:t xml:space="preserve">Grew 24% with 42 new corporate clients, including five Fortune Global 500 firms expanding Beijing operations</w:t>
      </w:r>
    </w:p>
    <w:p>
      <w:pPr>
        <w:numPr>
          <w:ilvl w:val="0"/>
          <w:numId w:val="1001"/>
        </w:numPr>
        <w:pStyle w:val="Compact"/>
      </w:pPr>
      <w:r>
        <w:rPr>
          <w:bCs/>
          <w:b/>
        </w:rPr>
        <w:t xml:space="preserve">Digital Premium Packages:</w:t>
      </w:r>
      <w:r>
        <w:t xml:space="preserve"> </w:t>
      </w:r>
      <w:r>
        <w:t xml:space="preserve">Subscription uptake surged by 31% among Beijing-based finance professionals (notably in financial districts like Wangfujing and Zhongguancun)</w:t>
      </w:r>
    </w:p>
    <w:p>
      <w:pPr>
        <w:numPr>
          <w:ilvl w:val="0"/>
          <w:numId w:val="1001"/>
        </w:numPr>
        <w:pStyle w:val="Compact"/>
      </w:pPr>
      <w:r>
        <w:rPr>
          <w:bCs/>
          <w:b/>
        </w:rPr>
        <w:t xml:space="preserve">Custom Content Solutions:</w:t>
      </w:r>
      <w:r>
        <w:t xml:space="preserve"> </w:t>
      </w:r>
      <w:r>
        <w:t xml:space="preserve">Revenue from bespoke briefings for Beijing government agencies rose 15% following pilot projects with the China International Economic Cooperation Center</w:t>
      </w:r>
    </w:p>
    <w:p>
      <w:pPr>
        <w:pStyle w:val="FirstParagraph"/>
      </w:pPr>
      <w:r>
        <w:t xml:space="preserve">A notable trend is the shift toward digital-first engagement. 76% of new Beijing subscribers chose digital-only packages, reflecting the market's preference for mobile-accessible analysis during commutes between diplomatic enclaves and business districts. The Economist app's Beijing-specific feature—'Policy Pulse'—which delivers real-time updates on China's regulatory changes, contributed to a 40% higher retention rate among local subscribers compared to global averages.</w:t>
      </w:r>
    </w:p>
    <w:bookmarkEnd w:id="22"/>
    <w:bookmarkStart w:id="23" w:name="strategic-challenges-in-china-beijing"/>
    <w:p>
      <w:pPr>
        <w:pStyle w:val="Heading2"/>
      </w:pPr>
      <w:r>
        <w:t xml:space="preserve">Strategic Challenges in China Beijing</w:t>
      </w:r>
    </w:p>
    <w:p>
      <w:pPr>
        <w:pStyle w:val="FirstParagraph"/>
      </w:pPr>
      <w:r>
        <w:t xml:space="preserve">Despite strong growth, our Sales Report identifies three persistent challenges requiring immediate attention:</w:t>
      </w:r>
    </w:p>
    <w:p>
      <w:pPr>
        <w:numPr>
          <w:ilvl w:val="0"/>
          <w:numId w:val="1002"/>
        </w:numPr>
        <w:pStyle w:val="Compact"/>
      </w:pPr>
      <w:r>
        <w:rPr>
          <w:bCs/>
          <w:b/>
        </w:rPr>
        <w:t xml:space="preserve">Regulatory Navigation:</w:t>
      </w:r>
      <w:r>
        <w:t xml:space="preserve"> </w:t>
      </w:r>
      <w:r>
        <w:t xml:space="preserve">Content compliance with China's media regulations occasionally delays digital access for subscribers in Beijing. We've implemented a dedicated local compliance team (launched Q2 2024) to resolve this, reducing delays by 65%.</w:t>
      </w:r>
    </w:p>
    <w:p>
      <w:pPr>
        <w:numPr>
          <w:ilvl w:val="0"/>
          <w:numId w:val="1002"/>
        </w:numPr>
        <w:pStyle w:val="Compact"/>
      </w:pPr>
      <w:r>
        <w:rPr>
          <w:bCs/>
          <w:b/>
        </w:rPr>
        <w:t xml:space="preserve">Competitive Pressure:</w:t>
      </w:r>
      <w:r>
        <w:t xml:space="preserve"> </w:t>
      </w:r>
      <w:r>
        <w:t xml:space="preserve">Local players like Caixin are aggressively targeting enterprise clients with China-focused content at lower price points. Our counter-strategy focuses on The Economist's global network advantage—highlighting how our Beijing subscribers gain access to exclusive insights from Washington, London, and Singapore.</w:t>
      </w:r>
    </w:p>
    <w:p>
      <w:pPr>
        <w:numPr>
          <w:ilvl w:val="0"/>
          <w:numId w:val="1002"/>
        </w:numPr>
        <w:pStyle w:val="Compact"/>
      </w:pPr>
      <w:r>
        <w:rPr>
          <w:bCs/>
          <w:b/>
        </w:rPr>
        <w:t xml:space="preserve">Cultural Adaptation:</w:t>
      </w:r>
      <w:r>
        <w:t xml:space="preserve"> </w:t>
      </w:r>
      <w:r>
        <w:t xml:space="preserve">While demand for international analysis is high, some Beijing-based readers initially prefer content with greater domestic context. We've responded by launching 'China Context' supplements in Q3 2024—providing local policy background alongside global analysis.</w:t>
      </w:r>
    </w:p>
    <w:bookmarkEnd w:id="23"/>
    <w:bookmarkStart w:id="24" w:name="Xcd4d1d72e0f3af4cf5cca0d53503b5485f8bb9f"/>
    <w:p>
      <w:pPr>
        <w:pStyle w:val="Heading2"/>
      </w:pPr>
      <w:r>
        <w:t xml:space="preserve">Future Growth Strategies for China Beijing</w:t>
      </w:r>
    </w:p>
    <w:p>
      <w:pPr>
        <w:pStyle w:val="FirstParagraph"/>
      </w:pPr>
      <w:r>
        <w:t xml:space="preserve">Based on this Sales Report, we recommend three targeted initiatives to accelerate growth in China Beijing:</w:t>
      </w:r>
    </w:p>
    <w:p>
      <w:pPr>
        <w:numPr>
          <w:ilvl w:val="0"/>
          <w:numId w:val="1003"/>
        </w:numPr>
        <w:pStyle w:val="Compact"/>
      </w:pPr>
      <w:r>
        <w:rPr>
          <w:bCs/>
          <w:b/>
        </w:rPr>
        <w:t xml:space="preserve">Beijing Policy Roundtables:</w:t>
      </w:r>
      <w:r>
        <w:t xml:space="preserve"> </w:t>
      </w:r>
      <w:r>
        <w:t xml:space="preserve">Quarterly closed-door briefings hosted at diplomatic venues (e.g., China Europe International Business School) featuring Economist analysts discussing policy implications. This builds trust with high-level stakeholders and drives enterprise sales.</w:t>
      </w:r>
    </w:p>
    <w:p>
      <w:pPr>
        <w:numPr>
          <w:ilvl w:val="0"/>
          <w:numId w:val="1003"/>
        </w:numPr>
        <w:pStyle w:val="Compact"/>
      </w:pPr>
      <w:r>
        <w:rPr>
          <w:bCs/>
          <w:b/>
        </w:rPr>
        <w:t xml:space="preserve">Digital Localization:</w:t>
      </w:r>
      <w:r>
        <w:t xml:space="preserve"> </w:t>
      </w:r>
      <w:r>
        <w:t xml:space="preserve">Developing a Mandarin-language version of our flagship 'Economist Intelligence Unit' reports, specifically tailored for Beijing's policy makers. Pilot launch Q1 2025.</w:t>
      </w:r>
    </w:p>
    <w:p>
      <w:pPr>
        <w:numPr>
          <w:ilvl w:val="0"/>
          <w:numId w:val="1003"/>
        </w:numPr>
        <w:pStyle w:val="Compact"/>
      </w:pPr>
      <w:r>
        <w:rPr>
          <w:bCs/>
          <w:b/>
        </w:rPr>
        <w:t xml:space="preserve">University Partnerships:</w:t>
      </w:r>
      <w:r>
        <w:t xml:space="preserve"> </w:t>
      </w:r>
      <w:r>
        <w:t xml:space="preserve">Collaborating with Tsinghua University and Peking University to integrate The Economist as a core resource in economics programs—cultivating future enterprise clients in Beijing's talent pipeline.</w:t>
      </w:r>
    </w:p>
    <w:bookmarkEnd w:id="24"/>
    <w:bookmarkStart w:id="25" w:name="conclusion"/>
    <w:p>
      <w:pPr>
        <w:pStyle w:val="Heading2"/>
      </w:pPr>
      <w:r>
        <w:t xml:space="preserve">Conclusion</w:t>
      </w:r>
    </w:p>
    <w:p>
      <w:pPr>
        <w:pStyle w:val="FirstParagraph"/>
      </w:pPr>
      <w:r>
        <w:t xml:space="preserve">This Sales Report confirms that The Economist has achieved strategic relevance in China Beijing—a market where nuanced economic analysis is increasingly valued by the city's decision-makers. Our growth trajectory demonstrates that quality content aligned with Beijing's unique business environment drives sustainable revenue. As we deepen our local engagement through tailored solutions and cultural adaptation, The Economist will solidify its position as the preferred source for international economic intelligence among China's most influential professionals. The future of this Sales Report points unmistakably toward Beijing as a cornerstone of our global growth strategy.</w:t>
      </w:r>
    </w:p>
    <w:p>
      <w:pPr>
        <w:pStyle w:val="BodyText"/>
      </w:pPr>
      <w:r>
        <w:t xml:space="preserve">Prepared by Global Sales Analytics Team | October 15,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in China Beijing Market</dc:title>
  <dc:creator/>
  <dc:language>en</dc:language>
  <cp:keywords/>
  <dcterms:created xsi:type="dcterms:W3CDTF">2026-07-23T14:15:05Z</dcterms:created>
  <dcterms:modified xsi:type="dcterms:W3CDTF">2026-07-23T14:15:05Z</dcterms:modified>
</cp:coreProperties>
</file>

<file path=docProps/custom.xml><?xml version="1.0" encoding="utf-8"?>
<Properties xmlns="http://schemas.openxmlformats.org/officeDocument/2006/custom-properties" xmlns:vt="http://schemas.openxmlformats.org/officeDocument/2006/docPropsVTypes"/>
</file>