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Colombia</w:t>
      </w:r>
      <w:r>
        <w:t xml:space="preserve"> </w:t>
      </w:r>
      <w:r>
        <w:t xml:space="preserve">Bogotá</w:t>
      </w:r>
    </w:p>
    <w:bookmarkStart w:id="27" w:name="X9af43dd86b840e0366aec4d5e4a9ae214b3fef6"/>
    <w:p>
      <w:pPr>
        <w:pStyle w:val="Heading1"/>
      </w:pPr>
      <w:r>
        <w:t xml:space="preserve">Comprehensive Sales Report: The Economist Subscription Performance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The Economist Group</w:t>
      </w:r>
      <w:r>
        <w:br/>
      </w:r>
      <w:r>
        <w:rPr>
          <w:bCs/>
          <w:b/>
        </w:rPr>
        <w:t xml:space="preserve">Region Focus:</w:t>
      </w:r>
      <w:r>
        <w:t xml:space="preserve"> </w:t>
      </w:r>
      <w:r>
        <w:t xml:space="preserve">Colombia Bogotá</w:t>
      </w:r>
    </w:p>
    <w:bookmarkStart w:id="20" w:name="i.-executive-summary"/>
    <w:p>
      <w:pPr>
        <w:pStyle w:val="Heading2"/>
      </w:pPr>
      <w:r>
        <w:t xml:space="preserve">I. Executive Summary</w:t>
      </w:r>
    </w:p>
    <w:p>
      <w:pPr>
        <w:pStyle w:val="FirstParagraph"/>
      </w:pPr>
      <w:r>
        <w:t xml:space="preserve">This Sales Report presents a detailed analysis of subscription performance for</w:t>
      </w:r>
      <w:r>
        <w:t xml:space="preserve"> </w:t>
      </w:r>
      <w:r>
        <w:rPr>
          <w:iCs/>
          <w:i/>
        </w:rPr>
        <w:t xml:space="preserve">The Economist</w:t>
      </w:r>
      <w:r>
        <w:t xml:space="preserve"> </w:t>
      </w:r>
      <w:r>
        <w:t xml:space="preserve">in the pivotal market of Colombia Bogotá during Q3 2023. The report demonstrates that Bogotá remains the most significant metropolitan hub for premium news consumption in Colombia, contributing 42% of all Colombian subscriptions. Despite regional economic headwinds, The Economist has achieved a remarkable 18% year-over-year growth in paid subscriptions within this key market, outpacing industry averages by 5.7 percentage points. This performance underscores Bogotá's status as the undisputed epicenter of intellectual engagement for Colombia's business and policy elite.</w:t>
      </w:r>
    </w:p>
    <w:bookmarkEnd w:id="20"/>
    <w:bookmarkStart w:id="21" w:name="Xda18b00a0c3f8c840b25d3fd4d98dcd8356e96d"/>
    <w:p>
      <w:pPr>
        <w:pStyle w:val="Heading2"/>
      </w:pPr>
      <w:r>
        <w:t xml:space="preserve">II. Current Sales Performance: Colombia Bogotá Market Analysis</w:t>
      </w:r>
    </w:p>
    <w:p>
      <w:pPr>
        <w:pStyle w:val="FirstParagraph"/>
      </w:pPr>
      <w:r>
        <w:t xml:space="preserve">The Colombia Bogotá market has delivered exceptional results, with 1,850 new paid subscriptions secured in Q3 alone – a 27% increase from Q2. This growth is particularly noteworthy given the broader Colombian economic context of 4.2% inflation and currency volatility. The Economist's premium pricing strategy has resonated powerfully with Bogotá's high-net-worth individuals (HNWIs) and corporate decision-makers, who view subscription to this global publication as essential professional capital.</w:t>
      </w:r>
    </w:p>
    <w:p>
      <w:pPr>
        <w:pStyle w:val="BodyText"/>
      </w:pPr>
      <w:r>
        <w:t xml:space="preserve">Key performance indicators reveal compelling trends:</w:t>
      </w:r>
    </w:p>
    <w:p>
      <w:pPr>
        <w:numPr>
          <w:ilvl w:val="0"/>
          <w:numId w:val="1001"/>
        </w:numPr>
        <w:pStyle w:val="Compact"/>
      </w:pPr>
      <w:r>
        <w:rPr>
          <w:bCs/>
          <w:b/>
        </w:rPr>
        <w:t xml:space="preserve">Subscription Mix:</w:t>
      </w:r>
      <w:r>
        <w:t xml:space="preserve"> </w:t>
      </w:r>
      <w:r>
        <w:t xml:space="preserve">68% digital-only (mobile app preferred), 23% print+digital bundle, 9% print-only</w:t>
      </w:r>
    </w:p>
    <w:p>
      <w:pPr>
        <w:numPr>
          <w:ilvl w:val="0"/>
          <w:numId w:val="1001"/>
        </w:numPr>
        <w:pStyle w:val="Compact"/>
      </w:pPr>
      <w:r>
        <w:rPr>
          <w:bCs/>
          <w:b/>
        </w:rPr>
        <w:t xml:space="preserve">Customer Demographics:</w:t>
      </w:r>
      <w:r>
        <w:t xml:space="preserve"> </w:t>
      </w:r>
      <w:r>
        <w:t xml:space="preserve">72% aged 35-54 (executives at Fortune Colombia companies), 19% academics/policy researchers, 9% entrepreneurs</w:t>
      </w:r>
    </w:p>
    <w:p>
      <w:pPr>
        <w:numPr>
          <w:ilvl w:val="0"/>
          <w:numId w:val="1001"/>
        </w:numPr>
        <w:pStyle w:val="Compact"/>
      </w:pPr>
      <w:r>
        <w:rPr>
          <w:bCs/>
          <w:b/>
        </w:rPr>
        <w:t xml:space="preserve">Geographic Concentration:</w:t>
      </w:r>
      <w:r>
        <w:t xml:space="preserve"> </w:t>
      </w:r>
      <w:r>
        <w:t xml:space="preserve">68% of subscriptions originate from Bogotá's financial districts (Av. El Dorado, Torre Colpatria), with 22% from upscale neighborhoods (Chapinero, Usaquén)</w:t>
      </w:r>
    </w:p>
    <w:bookmarkEnd w:id="21"/>
    <w:bookmarkStart w:id="22" w:name="Xf91700c1e426538e2b7ab1020656d7b6949435a"/>
    <w:p>
      <w:pPr>
        <w:pStyle w:val="Heading2"/>
      </w:pPr>
      <w:r>
        <w:t xml:space="preserve">III. Market Dynamics: Why The Economist Thrives in Colombia Bogotá</w:t>
      </w:r>
    </w:p>
    <w:p>
      <w:pPr>
        <w:pStyle w:val="FirstParagraph"/>
      </w:pPr>
      <w:r>
        <w:t xml:space="preserve">Bogotá's unique socio-economic landscape has created ideal conditions for The Economist's success. As the political and financial capital of Colombia, this city houses 85% of the nation's multinational corporate headquarters and all key government institutions. The Economist's distinctive coverage of emerging markets – particularly Latin American geopolitics, investment trends in Colombia, and sustainable development frameworks – directly addresses Bogotá executives' daily strategic needs.</w:t>
      </w:r>
    </w:p>
    <w:p>
      <w:pPr>
        <w:pStyle w:val="BodyText"/>
      </w:pPr>
      <w:r>
        <w:t xml:space="preserve">Our field research conducted in Bogotá reveals that 87% of current subscribers cite "The Economist's analysis of Colombian economic policy" as their primary purchase driver. This is especially relevant given the recent passage of Colombia's 2023-2026 National Development Plan, where The Economist provided exclusive early insights through its Colombia-focused briefings. Such market-specific relevance has created an undeniable competitive advantage over generic global publications.</w:t>
      </w:r>
    </w:p>
    <w:bookmarkEnd w:id="22"/>
    <w:bookmarkStart w:id="23" w:name="iv.-sales-channel-effectiveness"/>
    <w:p>
      <w:pPr>
        <w:pStyle w:val="Heading2"/>
      </w:pPr>
      <w:r>
        <w:t xml:space="preserve">IV. Sales Channel Effectiveness</w:t>
      </w:r>
    </w:p>
    <w:p>
      <w:pPr>
        <w:pStyle w:val="FirstParagraph"/>
      </w:pPr>
      <w:r>
        <w:t xml:space="preserve">A comparative analysis of our sales channels in Colombia Bogotá shows exceptional performance from targeted digital initiatives:</w:t>
      </w:r>
    </w:p>
    <w:p>
      <w:pPr>
        <w:pStyle w:val="BodyText"/>
      </w:pPr>
      <w:r>
        <w:t xml:space="preserve">Sales Channel</w:t>
      </w:r>
    </w:p>
    <w:p>
      <w:pPr>
        <w:pStyle w:val="BodyText"/>
      </w:pPr>
      <w:r>
        <w:t xml:space="preserve">Q3 Subscriptions</w:t>
      </w:r>
    </w:p>
    <w:p>
      <w:pPr>
        <w:pStyle w:val="BodyText"/>
      </w:pPr>
      <w:r>
        <w:t xml:space="preserve">Conversion Rate</w:t>
      </w:r>
    </w:p>
    <w:p>
      <w:pPr>
        <w:pStyle w:val="BodyText"/>
      </w:pPr>
      <w:r>
        <w:t xml:space="preserve">YoY Change</w:t>
      </w:r>
    </w:p>
    <w:p>
      <w:pPr>
        <w:pStyle w:val="BodyText"/>
      </w:pPr>
      <w:r>
        <w:t xml:space="preserve">Direct Web Sales (Bogotá IPs)</w:t>
      </w:r>
    </w:p>
    <w:p>
      <w:pPr>
        <w:pStyle w:val="BodyText"/>
      </w:pPr>
      <w:r>
        <w:t xml:space="preserve">742</w:t>
      </w:r>
    </w:p>
    <w:p>
      <w:pPr>
        <w:pStyle w:val="BodyText"/>
      </w:pPr>
      <w:r>
        <w:t xml:space="preserve">14.8%</w:t>
      </w:r>
    </w:p>
    <w:p>
      <w:pPr>
        <w:pStyle w:val="BodyText"/>
      </w:pPr>
      <w:r>
        <w:t xml:space="preserve">+29%</w:t>
      </w:r>
    </w:p>
    <w:p>
      <w:pPr>
        <w:pStyle w:val="BodyText"/>
      </w:pPr>
      <w:r>
        <w:t xml:space="preserve">Credit Card Partnerships (Bancolombia, Davivienda)</w:t>
      </w:r>
    </w:p>
    <w:p>
      <w:pPr>
        <w:pStyle w:val="BodyText"/>
      </w:pPr>
      <w:r>
        <w:t xml:space="preserve">403</w:t>
      </w:r>
    </w:p>
    <w:p>
      <w:pPr>
        <w:pStyle w:val="BodyText"/>
      </w:pPr>
      <w:r>
        <w:br/>
      </w:r>
      <w:r>
        <w:rPr>
          <w:bCs/>
          <w:b/>
        </w:rPr>
        <w:t xml:space="preserve">(Integrated with premium banking services)</w:t>
      </w:r>
    </w:p>
    <w:p>
      <w:pPr>
        <w:pStyle w:val="BodyText"/>
      </w:pPr>
      <w:r>
        <w:t xml:space="preserve">18.2%</w:t>
      </w:r>
    </w:p>
    <w:p>
      <w:pPr>
        <w:pStyle w:val="BodyText"/>
      </w:pPr>
      <w:r>
        <w:t xml:space="preserve">+35%</w:t>
      </w:r>
    </w:p>
    <w:p>
      <w:pPr>
        <w:pStyle w:val="BodyText"/>
      </w:pPr>
      <w:r>
        <w:t xml:space="preserve">Corporate Sales (Bogotá HQs)</w:t>
      </w:r>
    </w:p>
    <w:p>
      <w:pPr>
        <w:pStyle w:val="BodyText"/>
      </w:pPr>
      <w:r>
        <w:t xml:space="preserve">356</w:t>
      </w:r>
    </w:p>
    <w:p>
      <w:pPr>
        <w:pStyle w:val="BodyText"/>
      </w:pPr>
      <w:r>
        <w:br/>
      </w:r>
      <w:r>
        <w:rPr>
          <w:bCs/>
          <w:b/>
        </w:rPr>
        <w:t xml:space="preserve">(Enterprise bundles for C-suite teams)</w:t>
      </w:r>
    </w:p>
    <w:p>
      <w:pPr>
        <w:pStyle w:val="BodyText"/>
      </w:pPr>
      <w:r>
        <w:t xml:space="preserve">76.4%</w:t>
      </w:r>
    </w:p>
    <w:p>
      <w:pPr>
        <w:pStyle w:val="BodyText"/>
      </w:pPr>
      <w:r>
        <w:t xml:space="preserve">+19%</w:t>
      </w:r>
    </w:p>
    <w:p>
      <w:pPr>
        <w:pStyle w:val="BodyText"/>
      </w:pPr>
      <w:r>
        <w:t xml:space="preserve">In-Person Events (Colombia Bogotá Launches)</w:t>
      </w:r>
    </w:p>
    <w:p>
      <w:pPr>
        <w:pStyle w:val="BodyText"/>
      </w:pPr>
      <w:r>
        <w:t xml:space="preserve">204</w:t>
      </w:r>
    </w:p>
    <w:p>
      <w:pPr>
        <w:pStyle w:val="BodyText"/>
      </w:pPr>
      <w:r>
        <w:br/>
      </w:r>
      <w:r>
        <w:rPr>
          <w:bCs/>
          <w:b/>
        </w:rPr>
        <w:t xml:space="preserve">(Economic policy forums at Casa de la Moneda)</w:t>
      </w:r>
    </w:p>
    <w:p>
      <w:pPr>
        <w:pStyle w:val="BodyText"/>
      </w:pPr>
      <w:r>
        <w:t xml:space="preserve">33.5%</w:t>
      </w:r>
    </w:p>
    <w:p>
      <w:pPr>
        <w:pStyle w:val="BodyText"/>
      </w:pPr>
      <w:r>
        <w:t xml:space="preserve">+41%</w:t>
      </w:r>
    </w:p>
    <w:p>
      <w:pPr>
        <w:pStyle w:val="BodyText"/>
      </w:pPr>
      <w:r>
        <w:t xml:space="preserve">The data confirms that Bogotá-specific engagement tactics – particularly events held at iconic venues like the Banco de la República's cultural center – drive significantly higher conversion rates than national campaigns.</w:t>
      </w:r>
    </w:p>
    <w:bookmarkEnd w:id="23"/>
    <w:bookmarkStart w:id="24" w:name="v.-competitive-landscape-challenges"/>
    <w:p>
      <w:pPr>
        <w:pStyle w:val="Heading2"/>
      </w:pPr>
      <w:r>
        <w:t xml:space="preserve">V. Competitive Landscape &amp; Challenges</w:t>
      </w:r>
    </w:p>
    <w:p>
      <w:pPr>
        <w:pStyle w:val="FirstParagraph"/>
      </w:pPr>
      <w:r>
        <w:t xml:space="preserve">While The Economist dominates in premium quality, we face intensified competition from regional players like</w:t>
      </w:r>
      <w:r>
        <w:t xml:space="preserve"> </w:t>
      </w:r>
      <w:r>
        <w:rPr>
          <w:iCs/>
          <w:i/>
        </w:rPr>
        <w:t xml:space="preserve">Revista Semana</w:t>
      </w:r>
      <w:r>
        <w:t xml:space="preserve">'s digital subscription service and international rivals expanding Latin American coverage. The primary challenge in Colombia Bogotá is maintaining pricing power amid inflation. However, our premium positioning has proven resilient: only 3% of subscribers requested discounts during Q3 despite economic pressures.</w:t>
      </w:r>
    </w:p>
    <w:p>
      <w:pPr>
        <w:pStyle w:val="BodyText"/>
      </w:pPr>
      <w:r>
        <w:t xml:space="preserve">A critical opportunity lies in leveraging Bogotá's growing fintech ecosystem. Collaborations with Colombian platforms like Nubank and Daviplata present untapped potential for targeted subscription bundles – a strategy we're piloting with Banco de Bogotá starting November 2023.</w:t>
      </w:r>
    </w:p>
    <w:bookmarkEnd w:id="24"/>
    <w:bookmarkStart w:id="25" w:name="Xe31a6aeec5dad22ccf73d8149e7a12794e844c2"/>
    <w:p>
      <w:pPr>
        <w:pStyle w:val="Heading2"/>
      </w:pPr>
      <w:r>
        <w:t xml:space="preserve">VI. Strategic Recommendations for Q4 2023</w:t>
      </w:r>
    </w:p>
    <w:p>
      <w:pPr>
        <w:pStyle w:val="FirstParagraph"/>
      </w:pPr>
      <w:r>
        <w:t xml:space="preserve">Based on this Sales Report analysis, we propose the following Colombia Bogotá-focused initiatives:</w:t>
      </w:r>
    </w:p>
    <w:p>
      <w:pPr>
        <w:numPr>
          <w:ilvl w:val="0"/>
          <w:numId w:val="1002"/>
        </w:numPr>
        <w:pStyle w:val="Compact"/>
      </w:pPr>
      <w:r>
        <w:rPr>
          <w:bCs/>
          <w:b/>
        </w:rPr>
        <w:t xml:space="preserve">Bogotá Exclusive Content Series:</w:t>
      </w:r>
      <w:r>
        <w:t xml:space="preserve"> </w:t>
      </w:r>
      <w:r>
        <w:t xml:space="preserve">Launch a new quarterly "Colombia Strategy Brief" co-produced with Bogotá-based think tanks (e.g., CEDE), available exclusively to subscribers. This directly addresses the #1 request from our Bogotá customers.</w:t>
      </w:r>
    </w:p>
    <w:p>
      <w:pPr>
        <w:numPr>
          <w:ilvl w:val="0"/>
          <w:numId w:val="1002"/>
        </w:numPr>
        <w:pStyle w:val="Compact"/>
      </w:pPr>
      <w:r>
        <w:rPr>
          <w:bCs/>
          <w:b/>
        </w:rPr>
        <w:t xml:space="preserve">Corporate Partnership Expansion:</w:t>
      </w:r>
      <w:r>
        <w:t xml:space="preserve"> </w:t>
      </w:r>
      <w:r>
        <w:t xml:space="preserve">Target 50% of Bogotá's top 200 companies for enterprise subscriptions, focusing on HR departments managing executive development programs.</w:t>
      </w:r>
    </w:p>
    <w:p>
      <w:pPr>
        <w:numPr>
          <w:ilvl w:val="0"/>
          <w:numId w:val="1002"/>
        </w:numPr>
        <w:pStyle w:val="Compact"/>
      </w:pPr>
      <w:r>
        <w:rPr>
          <w:bCs/>
          <w:b/>
        </w:rPr>
        <w:t xml:space="preserve">Localized Digital Advertising:</w:t>
      </w:r>
      <w:r>
        <w:t xml:space="preserve"> </w:t>
      </w:r>
      <w:r>
        <w:t xml:space="preserve">Implement geo-targeted campaigns in Bogotá using LinkedIn and local business platforms (e.g., BDC), emphasizing Colombia-specific analysis.</w:t>
      </w:r>
    </w:p>
    <w:p>
      <w:pPr>
        <w:numPr>
          <w:ilvl w:val="0"/>
          <w:numId w:val="1002"/>
        </w:numPr>
        <w:pStyle w:val="Compact"/>
      </w:pPr>
      <w:r>
        <w:rPr>
          <w:bCs/>
          <w:b/>
        </w:rPr>
        <w:t xml:space="preserve">Event Amplification:</w:t>
      </w:r>
      <w:r>
        <w:t xml:space="preserve"> </w:t>
      </w:r>
      <w:r>
        <w:t xml:space="preserve">Double event capacity for our Bogotá Economic Forums, adding Spanish-language sessions to capture mid-tier executives previously hesitant about English content.</w:t>
      </w:r>
    </w:p>
    <w:bookmarkEnd w:id="25"/>
    <w:bookmarkStart w:id="26" w:name="vii.-conclusion"/>
    <w:p>
      <w:pPr>
        <w:pStyle w:val="Heading2"/>
      </w:pPr>
      <w:r>
        <w:t xml:space="preserve">VII. Conclusion</w:t>
      </w:r>
    </w:p>
    <w:p>
      <w:pPr>
        <w:pStyle w:val="FirstParagraph"/>
      </w:pPr>
      <w:r>
        <w:t xml:space="preserve">This comprehensive Sales Report confirms that Colombia Bogotá remains The Economist's most valuable market in Latin America. The city's unique concentration of economic decision-makers, combined with our hyper-relevant coverage of Colombian affairs, has created a virtuous cycle of growth and subscriber retention. Our 18% YoY growth in Bogotá is not merely a regional success story – it demonstrates how strategic localization within premium media can thrive even during economic uncertainty.</w:t>
      </w:r>
    </w:p>
    <w:p>
      <w:pPr>
        <w:pStyle w:val="BodyText"/>
      </w:pPr>
      <w:r>
        <w:t xml:space="preserve">As we finalize this Sales Report, the evidence is unequivocal: Colombia Bogotá isn't just an important market for The Economist – it's a model of how global journalism can achieve deep local resonance. We recommend maintaining aggressive investment in Bogotá-focused content and partnerships as our top priority for 2024. By doubling down on what makes this market unique, The Economist will continue to set the standard for premium news consumption in Colombia and beyond.</w:t>
      </w:r>
    </w:p>
    <w:p>
      <w:pPr>
        <w:pStyle w:val="BodyText"/>
      </w:pPr>
      <w:r>
        <w:rPr>
          <w:bCs/>
          <w:b/>
        </w:rPr>
        <w:t xml:space="preserve">Prepared by:</w:t>
      </w:r>
      <w:r>
        <w:t xml:space="preserve"> </w:t>
      </w:r>
      <w:r>
        <w:t xml:space="preserve">Latin America Sales Analytics Team</w:t>
      </w:r>
      <w:r>
        <w:br/>
      </w:r>
      <w:r>
        <w:rPr>
          <w:bCs/>
          <w:b/>
        </w:rPr>
        <w:t xml:space="preserve">Approved by:</w:t>
      </w:r>
      <w:r>
        <w:t xml:space="preserve"> </w:t>
      </w:r>
      <w:r>
        <w:t xml:space="preserve">Regional Director, South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Colombia Bogotá</dc:title>
  <dc:creator/>
  <dc:language>en</dc:language>
  <cp:keywords/>
  <dcterms:created xsi:type="dcterms:W3CDTF">2026-07-24T20:37:42Z</dcterms:created>
  <dcterms:modified xsi:type="dcterms:W3CDTF">2026-07-24T20:37:42Z</dcterms:modified>
</cp:coreProperties>
</file>

<file path=docProps/custom.xml><?xml version="1.0" encoding="utf-8"?>
<Properties xmlns="http://schemas.openxmlformats.org/officeDocument/2006/custom-properties" xmlns:vt="http://schemas.openxmlformats.org/officeDocument/2006/docPropsVTypes"/>
</file>