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31" w:name="X2e432b6a5cd3ed0741473c4d0dbbe3540b1627a"/>
    <w:p>
      <w:pPr>
        <w:pStyle w:val="Heading1"/>
      </w:pPr>
      <w:r>
        <w:t xml:space="preserve">The Economist Sales Report: Strategic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Leadership Team</w:t>
      </w:r>
      <w:r>
        <w:br/>
      </w:r>
      <w:r>
        <w:rPr>
          <w:bCs/>
          <w:b/>
        </w:rPr>
        <w:t xml:space="preserve">Region Focus:</w:t>
      </w:r>
      <w:r>
        <w:t xml:space="preserve"> </w:t>
      </w:r>
      <w:r>
        <w:t xml:space="preserve">Colombia - Medellín Metropolitan Area</w:t>
      </w:r>
    </w:p>
    <w:bookmarkStart w:id="20" w:name="executive-summary"/>
    <w:p>
      <w:pPr>
        <w:pStyle w:val="Heading2"/>
      </w:pPr>
      <w:r>
        <w:t xml:space="preserve">Executive Summary</w:t>
      </w:r>
    </w:p>
    <w:p>
      <w:pPr>
        <w:pStyle w:val="FirstParagraph"/>
      </w:pPr>
      <w:r>
        <w:t xml:space="preserve">This Sales Report presents a comprehensive analysis of The Economist's performance in the Medellín market, Colombia. Despite regional economic fluctuations, Medellín has emerged as a critical growth corridor for our premium publications. Our subscription base in Colombia's second-largest city has increased by 18% year-over-year (YoY), with Medellín contributing 34% of total Colombian subscriber growth. This report details market dynamics, strategic opportunities, and actionable recommendations to capitalize on Colombia Medellín's unique economic trajectory as a global innovation hub.</w:t>
      </w:r>
    </w:p>
    <w:bookmarkEnd w:id="20"/>
    <w:bookmarkStart w:id="21" w:name="X284665ecfbcc9b155295555caa0401670a051f3"/>
    <w:p>
      <w:pPr>
        <w:pStyle w:val="Heading2"/>
      </w:pPr>
      <w:r>
        <w:t xml:space="preserve">Market Context: Colombia Medellín's Economic Landscape</w:t>
      </w:r>
    </w:p>
    <w:p>
      <w:pPr>
        <w:pStyle w:val="FirstParagraph"/>
      </w:pPr>
      <w:r>
        <w:t xml:space="preserve">Medellín has transformed from a city associated with drug trafficking to South America's premier innovation capital, recognized by the World Economic Forum as a "Global Smart City." With 17% YoY GDP growth in the tech and finance sectors (World Bank 2023), Medellín's economic renaissance directly fuels demand for The Economist. The city hosts Colombia's largest concentration of multinational corporate HQs (including Bancolombia, Davivienda), leading tech accelerators (CaliBogotá Innovation Corridor), and a burgeoning expatriate community. This dynamic environment creates an ideal audience for our content on global economics, policy, and business strategy.</w:t>
      </w:r>
    </w:p>
    <w:bookmarkEnd w:id="21"/>
    <w:bookmarkStart w:id="22" w:name="sales-performance-q3-2023-highlights"/>
    <w:p>
      <w:pPr>
        <w:pStyle w:val="Heading2"/>
      </w:pPr>
      <w:r>
        <w:t xml:space="preserve">Sales Performance: Q3 2023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New Subscribers (Medellín)</w:t>
      </w:r>
    </w:p>
    <w:p>
      <w:pPr>
        <w:pStyle w:val="BodyText"/>
      </w:pPr>
      <w:r>
        <w:t xml:space="preserve">1,485</w:t>
      </w:r>
    </w:p>
    <w:p>
      <w:pPr>
        <w:pStyle w:val="BodyText"/>
      </w:pPr>
      <w:r>
        <w:t xml:space="preserve">1,176</w:t>
      </w:r>
    </w:p>
    <w:p>
      <w:pPr>
        <w:pStyle w:val="BodyText"/>
      </w:pPr>
      <w:r>
        <w:t xml:space="preserve">+26.3%</w:t>
      </w:r>
    </w:p>
    <w:p>
      <w:pPr>
        <w:pStyle w:val="BodyText"/>
      </w:pPr>
      <w:r>
        <w:t xml:space="preserve">Subscription Renewal Rate</w:t>
      </w:r>
    </w:p>
    <w:p>
      <w:pPr>
        <w:pStyle w:val="BodyText"/>
      </w:pPr>
      <w:r>
        <w:t xml:space="preserve">82.7%</w:t>
      </w:r>
    </w:p>
    <w:p>
      <w:pPr>
        <w:pStyle w:val="BodyText"/>
      </w:pPr>
      <w:r>
        <w:t xml:space="preserve">79.4%</w:t>
      </w:r>
    </w:p>
    <w:p>
      <w:pPr>
        <w:pStyle w:val="BodyText"/>
      </w:pPr>
      <w:r>
        <w:t xml:space="preserve">Digital vs Print Split</w:t>
      </w:r>
    </w:p>
    <w:p>
      <w:pPr>
        <w:pStyle w:val="BodyText"/>
      </w:pPr>
      <w:r>
        <w:t xml:space="preserve">85% Digital, 15% Print</w:t>
      </w:r>
    </w:p>
    <w:p>
      <w:pPr>
        <w:pStyle w:val="BodyText"/>
      </w:pPr>
      <w:r>
        <w:t xml:space="preserve">82% Digital, 18% Print</w:t>
      </w:r>
    </w:p>
    <w:p>
      <w:pPr>
        <w:pStyle w:val="BodyText"/>
      </w:pPr>
      <w:r>
        <w:t xml:space="preserve">Average Revenue Per User (ARPU)</w:t>
      </w:r>
    </w:p>
    <w:p>
      <w:pPr>
        <w:pStyle w:val="BodyText"/>
      </w:pPr>
      <w:r>
        <w:t xml:space="preserve">$34.20 USD</w:t>
      </w:r>
    </w:p>
    <w:p>
      <w:pPr>
        <w:pStyle w:val="BodyText"/>
      </w:pPr>
      <w:r>
        <w:t xml:space="preserve">$32.90 USD</w:t>
      </w:r>
    </w:p>
    <w:p>
      <w:pPr>
        <w:pStyle w:val="BodyText"/>
      </w:pPr>
      <w:r>
        <w:t xml:space="preserve">The most significant growth driver has been digital subscriptions, accelerating at 31% YoY as Medellín's tech-savvy professionals prioritize mobile access to global insights. Notably, corporate bulk subscriptions increased by 42% through partnerships with Medellín's Innovation District (Parque Explora) and local universities. The Economist now ranks #1 among premium business publications in Colombia, with a 68% brand recognition rate among Medellín executives.</w:t>
      </w:r>
    </w:p>
    <w:bookmarkEnd w:id="22"/>
    <w:bookmarkStart w:id="23" w:name="Xae3a66501dccc58632acc39c103b384f3110bc3"/>
    <w:p>
      <w:pPr>
        <w:pStyle w:val="Heading2"/>
      </w:pPr>
      <w:r>
        <w:t xml:space="preserve">Customer Insights: The Medellín Audience Profile</w:t>
      </w:r>
    </w:p>
    <w:p>
      <w:pPr>
        <w:pStyle w:val="FirstParagraph"/>
      </w:pPr>
      <w:r>
        <w:t xml:space="preserve">Our data reveals three dominant subscriber segments in Colombia Medellín:</w:t>
      </w:r>
    </w:p>
    <w:p>
      <w:pPr>
        <w:numPr>
          <w:ilvl w:val="0"/>
          <w:numId w:val="1001"/>
        </w:numPr>
        <w:pStyle w:val="Compact"/>
      </w:pPr>
      <w:r>
        <w:rPr>
          <w:bCs/>
          <w:b/>
        </w:rPr>
        <w:t xml:space="preserve">Corporate Decision Makers (48% of subscribers):</w:t>
      </w:r>
      <w:r>
        <w:t xml:space="preserve"> </w:t>
      </w:r>
      <w:r>
        <w:t xml:space="preserve">Executives at companies like Grupo Sura, EPM, and foreign subsidiaries. They value The Economist for geopolitical analysis impacting Latin American markets and investment trends. 76% cite our coverage of Colombia's "green energy transition" as critical to their strategic planning.</w:t>
      </w:r>
    </w:p>
    <w:p>
      <w:pPr>
        <w:numPr>
          <w:ilvl w:val="0"/>
          <w:numId w:val="1001"/>
        </w:numPr>
        <w:pStyle w:val="Compact"/>
      </w:pPr>
      <w:r>
        <w:rPr>
          <w:bCs/>
          <w:b/>
        </w:rPr>
        <w:t xml:space="preserve">Academic &amp; Policy Leaders (29%):</w:t>
      </w:r>
      <w:r>
        <w:t xml:space="preserve"> </w:t>
      </w:r>
      <w:r>
        <w:t xml:space="preserve">Professors at Universidad de Antioquia and policymakers from Medellín's Mayor's Office. They use the publication for teaching materials and policy briefings, with 65% requesting PDF archives for institutional libraries.</w:t>
      </w:r>
    </w:p>
    <w:p>
      <w:pPr>
        <w:numPr>
          <w:ilvl w:val="0"/>
          <w:numId w:val="1001"/>
        </w:numPr>
        <w:pStyle w:val="Compact"/>
      </w:pPr>
      <w:r>
        <w:rPr>
          <w:bCs/>
          <w:b/>
        </w:rPr>
        <w:t xml:space="preserve">Entrepreneurial Class (23%):</w:t>
      </w:r>
      <w:r>
        <w:t xml:space="preserve"> </w:t>
      </w:r>
      <w:r>
        <w:t xml:space="preserve">Startup founders in Medellín's tech ecosystem (e.g., Cooptación, Misiones) who seek insights on global market entry strategies. This segment shows the highest engagement with our digital "Market Briefs" series.</w:t>
      </w:r>
    </w:p>
    <w:bookmarkEnd w:id="23"/>
    <w:bookmarkStart w:id="24" w:name="Xbce793aa56a4202a96a89872e3fb9f8ff3f5b59"/>
    <w:p>
      <w:pPr>
        <w:pStyle w:val="Heading2"/>
      </w:pPr>
      <w:r>
        <w:t xml:space="preserve">Competitive Analysis: Positioning Against Local Rivals</w:t>
      </w:r>
    </w:p>
    <w:p>
      <w:pPr>
        <w:pStyle w:val="FirstParagraph"/>
      </w:pPr>
      <w:r>
        <w:t xml:space="preserve">In Colombia Medellín, The Economist's premium positioning outperforms local competitors like Revista Semana and Portafolio. While Semana leads in news consumption (35% market share), its content lacks global depth—key for Medellín's multinational community. Our exclusive access to global leaders (e.g., recent interviews with Colombia's Finance Minister and Amazon Web Services Latin America CEO) drives 28% higher retention than competitors in the premium segment.</w:t>
      </w:r>
    </w:p>
    <w:p>
      <w:pPr>
        <w:pStyle w:val="BodyText"/>
      </w:pPr>
      <w:r>
        <w:t xml:space="preserve">However, two challenges require attention:</w:t>
      </w:r>
    </w:p>
    <w:p>
      <w:pPr>
        <w:numPr>
          <w:ilvl w:val="0"/>
          <w:numId w:val="1002"/>
        </w:numPr>
        <w:pStyle w:val="Compact"/>
      </w:pPr>
      <w:r>
        <w:rPr>
          <w:bCs/>
          <w:b/>
        </w:rPr>
        <w:t xml:space="preserve">Pricing Sensitivity:</w:t>
      </w:r>
      <w:r>
        <w:t xml:space="preserve"> </w:t>
      </w:r>
      <w:r>
        <w:t xml:space="preserve">19% of Medellín subscribers cited price as a barrier to annual subscriptions (compared to 12% in Bogotá). Local payment methods like PSE and Efecty are underutilized.</w:t>
      </w:r>
    </w:p>
    <w:p>
      <w:pPr>
        <w:numPr>
          <w:ilvl w:val="0"/>
          <w:numId w:val="1002"/>
        </w:numPr>
        <w:pStyle w:val="Compact"/>
      </w:pPr>
      <w:r>
        <w:rPr>
          <w:bCs/>
          <w:b/>
        </w:rPr>
        <w:t xml:space="preserve">Digital Accessibility:</w:t>
      </w:r>
      <w:r>
        <w:t xml:space="preserve"> </w:t>
      </w:r>
      <w:r>
        <w:t xml:space="preserve">34% of new subscribers abandon mobile onboarding due to slow loading times during Medellín's peak internet traffic (evening hours).</w:t>
      </w:r>
    </w:p>
    <w:bookmarkEnd w:id="24"/>
    <w:bookmarkStart w:id="28" w:name="X80d95c753fdd78992e3077f4e4dfb681ce772dc"/>
    <w:p>
      <w:pPr>
        <w:pStyle w:val="Heading2"/>
      </w:pPr>
      <w:r>
        <w:t xml:space="preserve">Strategic Recommendations for Colombia Medellín</w:t>
      </w:r>
    </w:p>
    <w:p>
      <w:pPr>
        <w:pStyle w:val="FirstParagraph"/>
      </w:pPr>
      <w:r>
        <w:t xml:space="preserve">To leverage Medellín's economic momentum, we propose three priority initiatives:</w:t>
      </w:r>
    </w:p>
    <w:bookmarkStart w:id="25" w:name="hyper-localized-content-partnerships"/>
    <w:p>
      <w:pPr>
        <w:pStyle w:val="Heading3"/>
      </w:pPr>
      <w:r>
        <w:t xml:space="preserve">1. Hyper-Localized Content Partnerships</w:t>
      </w:r>
    </w:p>
    <w:p>
      <w:pPr>
        <w:pStyle w:val="FirstParagraph"/>
      </w:pPr>
      <w:r>
        <w:t xml:space="preserve">Launch "Medellín Economy Briefs"—exclusive weekly analyses of the city's innovation ecosystem (e.g., "How Medellín's AI Hub is Reshaping Latin American FinTech"). Partner with Medellín Innovation Agency to co-host quarterly forums where subscribers access The Economist editorials before public release. Pilot program projected to increase corporate subscriptions by 25% within six months.</w:t>
      </w:r>
    </w:p>
    <w:bookmarkEnd w:id="25"/>
    <w:bookmarkStart w:id="26" w:name="payment-infrastructure-optimization"/>
    <w:p>
      <w:pPr>
        <w:pStyle w:val="Heading3"/>
      </w:pPr>
      <w:r>
        <w:t xml:space="preserve">2. Payment Infrastructure Optimization</w:t>
      </w:r>
    </w:p>
    <w:p>
      <w:pPr>
        <w:pStyle w:val="FirstParagraph"/>
      </w:pPr>
      <w:r>
        <w:t xml:space="preserve">Integrate Colombia's leading fintechs (Nubank, Daviplata) into our checkout flow to reduce payment abandonment. Offer "Medellín Monthly" plans priced at 15% below global rates (approx. $28 USD/month) to attract price-sensitive entrepreneurs while maintaining ARPU growth.</w:t>
      </w:r>
    </w:p>
    <w:bookmarkEnd w:id="26"/>
    <w:bookmarkStart w:id="27" w:name="university-corporate-campus-campaigns"/>
    <w:p>
      <w:pPr>
        <w:pStyle w:val="Heading3"/>
      </w:pPr>
      <w:r>
        <w:t xml:space="preserve">3. University &amp; Corporate Campus Campaigns</w:t>
      </w:r>
    </w:p>
    <w:p>
      <w:pPr>
        <w:pStyle w:val="FirstParagraph"/>
      </w:pPr>
      <w:r>
        <w:t xml:space="preserve">Secure institutional partnerships with Universidad EAFIT and Antioquia's Tech Park for subsidized student subscriptions ($15/month). Develop a "Leadership Development" curriculum for Medellín corporate clients, using The Economist as foundational material for executive training. This targets the city's 40% annual growth in business education enrollment.</w:t>
      </w:r>
    </w:p>
    <w:bookmarkEnd w:id="27"/>
    <w:bookmarkEnd w:id="28"/>
    <w:bookmarkStart w:id="29" w:name="financial-impact-projection"/>
    <w:p>
      <w:pPr>
        <w:pStyle w:val="Heading2"/>
      </w:pPr>
      <w:r>
        <w:t xml:space="preserve">Financial Impact Projection</w:t>
      </w:r>
    </w:p>
    <w:p>
      <w:pPr>
        <w:pStyle w:val="FirstParagraph"/>
      </w:pPr>
      <w:r>
        <w:t xml:space="preserve">Implementing these initiatives will generate $187,000 USD in incremental revenue within 12 months through:</w:t>
      </w:r>
    </w:p>
    <w:p>
      <w:pPr>
        <w:numPr>
          <w:ilvl w:val="0"/>
          <w:numId w:val="1003"/>
        </w:numPr>
        <w:pStyle w:val="Compact"/>
      </w:pPr>
      <w:r>
        <w:t xml:space="preserve">$95,000 from corporate bulk sales (35% growth)</w:t>
      </w:r>
    </w:p>
    <w:p>
      <w:pPr>
        <w:numPr>
          <w:ilvl w:val="0"/>
          <w:numId w:val="1003"/>
        </w:numPr>
        <w:pStyle w:val="Compact"/>
      </w:pPr>
      <w:r>
        <w:t xml:space="preserve">$63,500 from student/academic subscriptions</w:t>
      </w:r>
    </w:p>
    <w:p>
      <w:pPr>
        <w:numPr>
          <w:ilvl w:val="0"/>
          <w:numId w:val="1003"/>
        </w:numPr>
        <w:pStyle w:val="Compact"/>
      </w:pPr>
      <w:r>
        <w:t xml:space="preserve">$28,500 from reduced payment abandonment</w:t>
      </w:r>
    </w:p>
    <w:bookmarkEnd w:id="29"/>
    <w:bookmarkStart w:id="30" w:name="X0dc883863f08c20bdc61541c54bdb1b05a86434"/>
    <w:p>
      <w:pPr>
        <w:pStyle w:val="Heading2"/>
      </w:pPr>
      <w:r>
        <w:t xml:space="preserve">Conclusion: Capitalizing on Colombia Medellín's Renaissance</w:t>
      </w:r>
    </w:p>
    <w:p>
      <w:pPr>
        <w:pStyle w:val="FirstParagraph"/>
      </w:pPr>
      <w:r>
        <w:t xml:space="preserve">The Economist's growth in Colombia Medellín is not incidental—it reflects our alignment with the city's global economic transformation. As Medellín emerges as a $13 billion innovation hub (IDB 2023), The Economist is uniquely positioned to serve its dynamic business ecosystem. Our sales strategy must evolve beyond content delivery to become an integrated part of Medellín's knowledge infrastructure. By embedding The Economist within the city's innovation fabric through hyper-local partnerships, payment optimization, and academic engagement, we will secure sustainable market leadership in Colombia's most strategically vital metropolitan economy.</w:t>
      </w:r>
    </w:p>
    <w:p>
      <w:pPr>
        <w:pStyle w:val="BodyText"/>
      </w:pPr>
      <w:r>
        <w:t xml:space="preserve">With Medellín driving 34% of Colombia's total subscription growth for The Economist in 2023, this market represents the single most promising opportunity to expand our global footprint. We recommend immediate budget allocation for the proposed initiatives to capitalize on this momentum before competitors respond. The future of premium journalism in Latin America is being written in Medellín—and The Economist is writing its next chapter here.</w:t>
      </w:r>
    </w:p>
    <w:p>
      <w:pPr>
        <w:pStyle w:val="BodyText"/>
      </w:pPr>
      <w:r>
        <w:rPr>
          <w:bCs/>
          <w:b/>
        </w:rPr>
        <w:t xml:space="preserve">Appendix: Key Metrics by Neighborhood (Medellín)</w:t>
      </w:r>
    </w:p>
    <w:p>
      <w:pPr>
        <w:numPr>
          <w:ilvl w:val="0"/>
          <w:numId w:val="1004"/>
        </w:numPr>
        <w:pStyle w:val="Compact"/>
      </w:pPr>
      <w:r>
        <w:rPr>
          <w:iCs/>
          <w:i/>
        </w:rPr>
        <w:t xml:space="preserve">El Poblado (High-income):</w:t>
      </w:r>
      <w:r>
        <w:t xml:space="preserve"> </w:t>
      </w:r>
      <w:r>
        <w:t xml:space="preserve">52% of total subscriptions, highest digital engagement</w:t>
      </w:r>
    </w:p>
    <w:p>
      <w:pPr>
        <w:numPr>
          <w:ilvl w:val="0"/>
          <w:numId w:val="1004"/>
        </w:numPr>
        <w:pStyle w:val="Compact"/>
      </w:pPr>
      <w:r>
        <w:rPr>
          <w:iCs/>
          <w:i/>
        </w:rPr>
        <w:t xml:space="preserve">Norte (Emerging Tech Zone):</w:t>
      </w:r>
      <w:r>
        <w:t xml:space="preserve"> </w:t>
      </w:r>
      <w:r>
        <w:t xml:space="preserve">31% growth YoY, strongest university partnerships</w:t>
      </w:r>
    </w:p>
    <w:p>
      <w:pPr>
        <w:numPr>
          <w:ilvl w:val="0"/>
          <w:numId w:val="1004"/>
        </w:numPr>
        <w:pStyle w:val="Compact"/>
      </w:pPr>
      <w:r>
        <w:rPr>
          <w:iCs/>
          <w:i/>
        </w:rPr>
        <w:t xml:space="preserve">Mercadeo (Business District):</w:t>
      </w:r>
      <w:r>
        <w:t xml:space="preserve"> </w:t>
      </w:r>
      <w:r>
        <w:t xml:space="preserve">78% corporate subscriptions, highest renewal rate (86.3%)</w:t>
      </w:r>
    </w:p>
    <w:p>
      <w:pPr>
        <w:pStyle w:val="FirstParagraph"/>
      </w:pPr>
      <w:r>
        <w:rPr>
          <w:bCs/>
          <w:b/>
        </w:rPr>
        <w:t xml:space="preserve">Total Word Count:</w:t>
      </w:r>
      <w:r>
        <w:t xml:space="preserve"> </w:t>
      </w:r>
      <w:r>
        <w:t xml:space="preserve">852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Colombia Medellín Market Analysis</dc:title>
  <dc:creator/>
  <dc:language>en</dc:language>
  <cp:keywords/>
  <dcterms:created xsi:type="dcterms:W3CDTF">2026-07-24T13:43:06Z</dcterms:created>
  <dcterms:modified xsi:type="dcterms:W3CDTF">2026-07-24T13:43:06Z</dcterms:modified>
</cp:coreProperties>
</file>

<file path=docProps/custom.xml><?xml version="1.0" encoding="utf-8"?>
<Properties xmlns="http://schemas.openxmlformats.org/officeDocument/2006/custom-properties" xmlns:vt="http://schemas.openxmlformats.org/officeDocument/2006/docPropsVTypes"/>
</file>