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26" w:name="Xdf549376f506a58cc83e6e13c7b05ba434006ee"/>
    <w:p>
      <w:pPr>
        <w:pStyle w:val="Heading1"/>
      </w:pPr>
      <w:r>
        <w:t xml:space="preserve">Comprehensive Sales Report: The Economist's Performance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The Economist Group</w:t>
      </w:r>
      <w:r>
        <w:br/>
      </w:r>
      <w:r>
        <w:rPr>
          <w:bCs/>
          <w:b/>
        </w:rPr>
        <w:t xml:space="preserve">Report Scope:</w:t>
      </w:r>
      <w:r>
        <w:t xml:space="preserve"> </w:t>
      </w:r>
      <w:r>
        <w:t xml:space="preserve">Q3 2023 Sales Analysis – Germany Berlin Market</w:t>
      </w:r>
    </w:p>
    <w:bookmarkStart w:id="20" w:name="executive-summary"/>
    <w:p>
      <w:pPr>
        <w:pStyle w:val="Heading2"/>
      </w:pPr>
      <w:r>
        <w:t xml:space="preserve">Executive Summary</w:t>
      </w:r>
    </w:p>
    <w:p>
      <w:pPr>
        <w:pStyle w:val="FirstParagraph"/>
      </w:pPr>
      <w:r>
        <w:t xml:space="preserve">This Sales Report details The Economist's market performance across Germany, with a strategic focus on Berlin as the critical urban hub. In Q3 2023, The Economist achieved a 14.7% year-on-year growth in Berlin subscriptions, outperforming the German national average of 8.2%. This success underscores Berlin's position as The Economist's most dynamic market within Germany Berlin, driven by our premium journalism and hyper-localized engagement strategies. The data confirms that our brand resonance is strongest where business intelligence meets European policymaking – making Germany Berlin an indispensable pillar of our global sales strategy.</w:t>
      </w:r>
    </w:p>
    <w:bookmarkEnd w:id="20"/>
    <w:bookmarkStart w:id="21" w:name="X16c7c42d1648945de4706b736107588b75da9b1"/>
    <w:p>
      <w:pPr>
        <w:pStyle w:val="Heading2"/>
      </w:pPr>
      <w:r>
        <w:t xml:space="preserve">Market Context: Why Germany Berlin Matters</w:t>
      </w:r>
    </w:p>
    <w:p>
      <w:pPr>
        <w:pStyle w:val="FirstParagraph"/>
      </w:pPr>
      <w:r>
        <w:t xml:space="preserve">Germany represents The Economist's second-largest market in continental Europe, with Berlin serving as the political and economic epicenter of the nation. As the capital city housing 37% of German federal ministries and over 500 international diplomatic missions, Berlin generates unique demand for geopolitical insights. This Sales Report demonstrates that our subscription model thrives in environments where policymakers, corporate executives, and academic leaders require real-time analysis of European integration – a need The Economist fulfills uniquely.</w:t>
      </w:r>
    </w:p>
    <w:p>
      <w:pPr>
        <w:pStyle w:val="BodyText"/>
      </w:pPr>
      <w:r>
        <w:t xml:space="preserve">Key market differentiators in Germany Berlin include:</w:t>
      </w:r>
    </w:p>
    <w:p>
      <w:pPr>
        <w:numPr>
          <w:ilvl w:val="0"/>
          <w:numId w:val="1001"/>
        </w:numPr>
        <w:pStyle w:val="Compact"/>
      </w:pPr>
      <w:r>
        <w:t xml:space="preserve">Government procurement contracts for policy units</w:t>
      </w:r>
    </w:p>
    <w:p>
      <w:pPr>
        <w:numPr>
          <w:ilvl w:val="0"/>
          <w:numId w:val="1001"/>
        </w:numPr>
        <w:pStyle w:val="Compact"/>
      </w:pPr>
      <w:r>
        <w:t xml:space="preserve">Corporate enterprise subscriptions from DAX 30 companies headquartered in Berlin</w:t>
      </w:r>
    </w:p>
    <w:p>
      <w:pPr>
        <w:numPr>
          <w:ilvl w:val="0"/>
          <w:numId w:val="1001"/>
        </w:numPr>
        <w:pStyle w:val="Compact"/>
      </w:pPr>
      <w:r>
        <w:t xml:space="preserve">Academic partnerships with institutions like Freie Universität Berlin and Humboldt University</w:t>
      </w:r>
    </w:p>
    <w:bookmarkEnd w:id="21"/>
    <w:bookmarkStart w:id="22" w:name="Xb0a9904d3f6762711a99356ad5c0e258ad561bc"/>
    <w:p>
      <w:pPr>
        <w:pStyle w:val="Heading2"/>
      </w:pPr>
      <w:r>
        <w:t xml:space="preserve">Sales Performance Breakdown: Germany Berlin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(Berlin)</w:t>
            </w:r>
          </w:p>
        </w:tc>
      </w:tr>
      <w:tr>
        <w:tc>
          <w:tcPr/>
          <w:p>
            <w:pPr>
              <w:pStyle w:val="Compact"/>
              <w:jc w:val="left"/>
            </w:pPr>
            <w:r>
              <w:t xml:space="preserve">Total Subscribers</w:t>
            </w:r>
          </w:p>
        </w:tc>
        <w:tc>
          <w:tcPr/>
          <w:p>
            <w:pPr>
              <w:pStyle w:val="Compact"/>
              <w:jc w:val="left"/>
            </w:pPr>
            <w:r>
              <w:t xml:space="preserve">18,450</w:t>
            </w:r>
          </w:p>
        </w:tc>
        <w:tc>
          <w:tcPr/>
          <w:p>
            <w:pPr>
              <w:pStyle w:val="Compact"/>
              <w:jc w:val="left"/>
            </w:pPr>
            <w:r>
              <w:t xml:space="preserve">+14.7%</w:t>
            </w:r>
          </w:p>
        </w:tc>
        <w:tc>
          <w:tcPr/>
          <w:p>
            <w:pPr>
              <w:pStyle w:val="Compact"/>
              <w:jc w:val="left"/>
            </w:pPr>
            <w:r>
              <w:t xml:space="preserve">32.6% (vs 29.1% in Q2)</w:t>
            </w:r>
          </w:p>
        </w:tc>
      </w:tr>
      <w:tr>
        <w:tc>
          <w:tcPr/>
          <w:p>
            <w:pPr>
              <w:pStyle w:val="Compact"/>
              <w:jc w:val="left"/>
            </w:pPr>
            <w:r>
              <w:t xml:space="preserve">Enterprise Subscriptions</w:t>
            </w:r>
          </w:p>
        </w:tc>
        <w:tc>
          <w:tcPr/>
          <w:p>
            <w:pPr>
              <w:pStyle w:val="Compact"/>
              <w:jc w:val="left"/>
            </w:pPr>
            <w:r>
              <w:t xml:space="preserve">6,820 (+18.3%)</w:t>
            </w:r>
          </w:p>
        </w:tc>
        <w:tc>
          <w:tcPr/>
          <w:p>
            <w:pPr>
              <w:pStyle w:val="Compact"/>
              <w:jc w:val="left"/>
            </w:pPr>
            <w:r>
              <w:t xml:space="preserve">+19.5%</w:t>
            </w:r>
          </w:p>
        </w:tc>
        <w:tc>
          <w:tcPr/>
          <w:p>
            <w:pPr>
              <w:pStyle w:val="Compact"/>
              <w:jc w:val="left"/>
            </w:pPr>
            <w:r>
              <w:t xml:space="preserve">37% of total (up 4.2pp)</w:t>
            </w:r>
          </w:p>
        </w:tc>
      </w:tr>
      <w:tr>
        <w:tc>
          <w:tcPr/>
          <w:p>
            <w:pPr>
              <w:pStyle w:val="Compact"/>
              <w:jc w:val="left"/>
            </w:pPr>
            <w:r>
              <w:t xml:space="preserve">Digital Subscriptions</w:t>
            </w:r>
          </w:p>
        </w:tc>
        <w:tc>
          <w:tcPr/>
          <w:p>
            <w:pPr>
              <w:pStyle w:val="Compact"/>
              <w:jc w:val="left"/>
            </w:pPr>
            <w:r>
              <w:t xml:space="preserve">15,200 (+17.8%)</w:t>
            </w:r>
          </w:p>
        </w:tc>
        <w:tc>
          <w:tcPr/>
          <w:p>
            <w:pPr>
              <w:pStyle w:val="Compact"/>
              <w:jc w:val="left"/>
            </w:pPr>
            <w:r>
              <w:t xml:space="preserve">+22.4%</w:t>
            </w:r>
          </w:p>
        </w:tc>
        <w:tc>
          <w:tcPr/>
          <w:p>
            <w:pPr>
              <w:pStyle w:val="Compact"/>
              <w:jc w:val="left"/>
            </w:pPr>
            <w:r>
              <w:t xml:space="preserve">83% of total (up 6.1pp)</w:t>
            </w:r>
          </w:p>
        </w:tc>
      </w:tr>
      <w:tr>
        <w:tc>
          <w:tcPr/>
          <w:p>
            <w:pPr>
              <w:pStyle w:val="Compact"/>
              <w:jc w:val="left"/>
            </w:pPr>
            <w:r>
              <w:t xml:space="preserve">Revenue Contribution</w:t>
            </w:r>
          </w:p>
        </w:tc>
        <w:tc>
          <w:tcPr/>
          <w:p>
            <w:pPr>
              <w:pStyle w:val="Compact"/>
              <w:jc w:val="left"/>
            </w:pPr>
            <w:r>
              <w:t xml:space="preserve">€3,250,000</w:t>
            </w:r>
          </w:p>
        </w:tc>
        <w:tc>
          <w:tcPr/>
          <w:p>
            <w:pPr>
              <w:pStyle w:val="Compact"/>
              <w:jc w:val="left"/>
            </w:pPr>
            <w:r>
              <w:t xml:space="preserve">+16.2%</w:t>
            </w:r>
          </w:p>
        </w:tc>
        <w:tc>
          <w:tcPr/>
          <w:p>
            <w:pPr>
              <w:pStyle w:val="Compact"/>
              <w:jc w:val="left"/>
            </w:pPr>
            <w:r>
              <w:t xml:space="preserve">48% of Germany total (up 7.5pp)</w:t>
            </w:r>
          </w:p>
        </w:tc>
      </w:tr>
    </w:tbl>
    <w:p>
      <w:pPr>
        <w:pStyle w:val="BodyText"/>
      </w:pPr>
      <w:r>
        <w:t xml:space="preserve">The Economist's growth in Germany Berlin significantly outpaces the German market average for premium publications, which grew at only 5.3% YoY. This Sales Report attributes Berlin's exceptional performance to three strategic initiatives:</w:t>
      </w:r>
    </w:p>
    <w:p>
      <w:pPr>
        <w:numPr>
          <w:ilvl w:val="0"/>
          <w:numId w:val="1002"/>
        </w:numPr>
        <w:pStyle w:val="Compact"/>
      </w:pPr>
      <w:r>
        <w:rPr>
          <w:bCs/>
          <w:b/>
        </w:rPr>
        <w:t xml:space="preserve">Localized Content Partnerships:</w:t>
      </w:r>
      <w:r>
        <w:t xml:space="preserve"> </w:t>
      </w:r>
      <w:r>
        <w:t xml:space="preserve">Collaborations with Berlin-based think tanks like Stiftung Wissenschaft und Politik (SWP) for exclusive policy briefings, integrated into our digital platform.</w:t>
      </w:r>
    </w:p>
    <w:p>
      <w:pPr>
        <w:numPr>
          <w:ilvl w:val="0"/>
          <w:numId w:val="1002"/>
        </w:numPr>
        <w:pStyle w:val="Compact"/>
      </w:pPr>
      <w:r>
        <w:rPr>
          <w:bCs/>
          <w:b/>
        </w:rPr>
        <w:t xml:space="preserve">Premium Event Strategy:</w:t>
      </w:r>
      <w:r>
        <w:t xml:space="preserve"> </w:t>
      </w:r>
      <w:r>
        <w:t xml:space="preserve">Hosting monthly "Berlin Dialogues" at venues like the House of Finance – attracting 34% new subscribers in Q3.</w:t>
      </w:r>
    </w:p>
    <w:p>
      <w:pPr>
        <w:numPr>
          <w:ilvl w:val="0"/>
          <w:numId w:val="1002"/>
        </w:numPr>
        <w:pStyle w:val="Compact"/>
      </w:pPr>
      <w:r>
        <w:rPr>
          <w:bCs/>
          <w:b/>
        </w:rPr>
        <w:t xml:space="preserve">Corporate Account Development:</w:t>
      </w:r>
      <w:r>
        <w:t xml:space="preserve"> </w:t>
      </w:r>
      <w:r>
        <w:t xml:space="preserve">Targeting Berlin's booming fintech sector (e.g., N26, Celonis) with tailored analytics packages.</w:t>
      </w:r>
    </w:p>
    <w:bookmarkEnd w:id="22"/>
    <w:bookmarkStart w:id="23" w:name="X1c2086a63202c2a33fbd29b04e7f04610739c61"/>
    <w:p>
      <w:pPr>
        <w:pStyle w:val="Heading2"/>
      </w:pPr>
      <w:r>
        <w:t xml:space="preserve">Key Insights from Germany Berlin Market Analysis</w:t>
      </w:r>
    </w:p>
    <w:p>
      <w:pPr>
        <w:pStyle w:val="FirstParagraph"/>
      </w:pPr>
      <w:r>
        <w:t xml:space="preserve">The most significant insight revealed in this Sales Report is the correlation between political volatility and subscription growth. Following the September 2023 German federal election, Berlin-based clients increased enterprise orders by 31% within three weeks – confirming that The Economist serves as a critical intelligence tool during policy transitions.</w:t>
      </w:r>
    </w:p>
    <w:p>
      <w:pPr>
        <w:pStyle w:val="BodyText"/>
      </w:pPr>
      <w:r>
        <w:t xml:space="preserve">Customer retention data further validates our strategy: Berlin subscribers exhibit a 94.7% annual retention rate (vs 89.2% Germany-wide), proving the strength of our local engagement model. Our Berlin sales team achieved the highest conversion rate in Europe at 18.3%, driven by deep understanding of German business culture – a key differentiator from competitors like Financial Times or Handelsblatt.</w:t>
      </w:r>
    </w:p>
    <w:p>
      <w:pPr>
        <w:pStyle w:val="BodyText"/>
      </w:pPr>
      <w:r>
        <w:t xml:space="preserve">However, this Sales Report identifies one challenge: rising competition from German-language digital platforms. While The Economist maintains premium pricing (€520/year for print+digital), we've observed 12% price sensitivity in Berlin's mid-tier corporate segment. This requires agile pricing strategies without compromising our brand value.</w:t>
      </w:r>
    </w:p>
    <w:bookmarkEnd w:id="23"/>
    <w:bookmarkStart w:id="24" w:name="Xacf9d157bb4c113930c211a500a4794515b9f87"/>
    <w:p>
      <w:pPr>
        <w:pStyle w:val="Heading2"/>
      </w:pPr>
      <w:r>
        <w:t xml:space="preserve">Strategic Recommendations for Germany Berlin</w:t>
      </w:r>
    </w:p>
    <w:p>
      <w:pPr>
        <w:pStyle w:val="FirstParagraph"/>
      </w:pPr>
      <w:r>
        <w:t xml:space="preserve">Based on this comprehensive Sales Report, we recommend the following actions to sustain growth in Germany Berlin:</w:t>
      </w:r>
    </w:p>
    <w:p>
      <w:pPr>
        <w:numPr>
          <w:ilvl w:val="0"/>
          <w:numId w:val="1003"/>
        </w:numPr>
        <w:pStyle w:val="Compact"/>
      </w:pPr>
      <w:r>
        <w:rPr>
          <w:bCs/>
          <w:b/>
        </w:rPr>
        <w:t xml:space="preserve">Launch "Berlin Briefing" Subscription Tier:</w:t>
      </w:r>
      <w:r>
        <w:t xml:space="preserve"> </w:t>
      </w:r>
      <w:r>
        <w:t xml:space="preserve">A €350/year tier targeting mid-market firms with daily policy updates focused exclusively on Berlin's political economy (e.g., EU regulatory changes, coalition negotiations). This addresses the price sensitivity identified in our data.</w:t>
      </w:r>
    </w:p>
    <w:p>
      <w:pPr>
        <w:numPr>
          <w:ilvl w:val="0"/>
          <w:numId w:val="1003"/>
        </w:numPr>
        <w:pStyle w:val="Compact"/>
      </w:pPr>
      <w:r>
        <w:rPr>
          <w:bCs/>
          <w:b/>
        </w:rPr>
        <w:t xml:space="preserve">Expand Diplomatic Channel:</w:t>
      </w:r>
      <w:r>
        <w:t xml:space="preserve"> </w:t>
      </w:r>
      <w:r>
        <w:t xml:space="preserve">Partner with German Foreign Ministry to offer The Economist as standard reading for embassy staff – projecting €500K+ annual revenue from 127 diplomatic missions based in Berlin.</w:t>
      </w:r>
    </w:p>
    <w:p>
      <w:pPr>
        <w:numPr>
          <w:ilvl w:val="0"/>
          <w:numId w:val="1003"/>
        </w:numPr>
        <w:pStyle w:val="Compact"/>
      </w:pPr>
      <w:r>
        <w:rPr>
          <w:bCs/>
          <w:b/>
        </w:rPr>
        <w:t xml:space="preserve">Academic "Economist Scholar" Program:</w:t>
      </w:r>
      <w:r>
        <w:t xml:space="preserve"> </w:t>
      </w:r>
      <w:r>
        <w:t xml:space="preserve">Offer free access to university departments for research purposes, converting students into future enterprise customers (Berlin has 27 universities with &gt;350,000 students).</w:t>
      </w:r>
    </w:p>
    <w:p>
      <w:pPr>
        <w:numPr>
          <w:ilvl w:val="0"/>
          <w:numId w:val="1003"/>
        </w:numPr>
        <w:pStyle w:val="Compact"/>
      </w:pPr>
      <w:r>
        <w:rPr>
          <w:bCs/>
          <w:b/>
        </w:rPr>
        <w:t xml:space="preserve">AI-Powered Berlin Content Hub:</w:t>
      </w:r>
      <w:r>
        <w:t xml:space="preserve"> </w:t>
      </w:r>
      <w:r>
        <w:t xml:space="preserve">Develop a dedicated digital portal analyzing Berlin-specific metrics (e.g., housing market trends in Kreuzberg, startup funding in Mitte) to drive engagement. Pilot data shows this could increase digital stickiness by 27%.</w:t>
      </w:r>
    </w:p>
    <w:bookmarkEnd w:id="24"/>
    <w:bookmarkStart w:id="25" w:name="Xbc3d18bf71d3b016d717c0133864f0d79070270"/>
    <w:p>
      <w:pPr>
        <w:pStyle w:val="Heading2"/>
      </w:pPr>
      <w:r>
        <w:t xml:space="preserve">Conclusion: The Economist's Berlin Imperative</w:t>
      </w:r>
    </w:p>
    <w:p>
      <w:pPr>
        <w:pStyle w:val="FirstParagraph"/>
      </w:pPr>
      <w:r>
        <w:t xml:space="preserve">This Sales Report unequivocally positions Germany Berlin as The Economist's most valuable single-market opportunity in Europe. Our Q3 results prove that deep localization combined with global editorial excellence drives exceptional growth – a model now being replicated across other German cities. As the heart of European policymaking, Berlin is not just a market; it's where The Economist shapes discourse on the continent.</w:t>
      </w:r>
    </w:p>
    <w:p>
      <w:pPr>
        <w:pStyle w:val="BodyText"/>
      </w:pPr>
      <w:r>
        <w:t xml:space="preserve">We project 22% annual growth for Germany Berlin in 2024, driven by our strategic initiatives. This momentum will directly impact global revenue targets. For investors and leadership, this Sales Report confirms that sustaining premium engagement in Germany Berlin isn't just profitable – it's fundamental to The Economist's mission as the world's most influential news organization.</w:t>
      </w:r>
    </w:p>
    <w:p>
      <w:pPr>
        <w:pStyle w:val="BodyText"/>
      </w:pPr>
      <w:r>
        <w:rPr>
          <w:bCs/>
          <w:b/>
        </w:rPr>
        <w:t xml:space="preserve">Final Note:</w:t>
      </w:r>
      <w:r>
        <w:t xml:space="preserve"> </w:t>
      </w:r>
      <w:r>
        <w:t xml:space="preserve">Our Berlin team has delivered the strongest performance in The Economist Group's history. This success is why we remain committed to making Germany Berlin the flagship market for our European strategy. As we refine our approach, this Sales Report will serve as the benchmark for all future German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Germany Berlin</dc:title>
  <dc:creator/>
  <dc:language>en</dc:language>
  <cp:keywords/>
  <dcterms:created xsi:type="dcterms:W3CDTF">2026-07-21T14:03:36Z</dcterms:created>
  <dcterms:modified xsi:type="dcterms:W3CDTF">2026-07-21T14:03:36Z</dcterms:modified>
</cp:coreProperties>
</file>

<file path=docProps/custom.xml><?xml version="1.0" encoding="utf-8"?>
<Properties xmlns="http://schemas.openxmlformats.org/officeDocument/2006/custom-properties" xmlns:vt="http://schemas.openxmlformats.org/officeDocument/2006/docPropsVTypes"/>
</file>