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w:t>
      </w:r>
      <w:r>
        <w:t xml:space="preserve"> </w:t>
      </w:r>
      <w:r>
        <w:t xml:space="preserve">Germany</w:t>
      </w:r>
      <w:r>
        <w:t xml:space="preserve"> </w:t>
      </w:r>
      <w:r>
        <w:t xml:space="preserve">Frankfurt</w:t>
      </w:r>
      <w:r>
        <w:t xml:space="preserve"> </w:t>
      </w:r>
      <w:r>
        <w:t xml:space="preserve">Market</w:t>
      </w:r>
    </w:p>
    <w:bookmarkStart w:id="30" w:name="X62d529a90b8fcef85d4c3380333d4f02aad2a81"/>
    <w:p>
      <w:pPr>
        <w:pStyle w:val="Heading1"/>
      </w:pPr>
      <w:r>
        <w:t xml:space="preserve">Sales Report: The Economist - Germany Frankfurt Market Performance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Sales Leadership Team |</w:t>
      </w:r>
      <w:r>
        <w:t xml:space="preserve"> </w:t>
      </w:r>
      <w:r>
        <w:rPr>
          <w:bCs/>
          <w:b/>
        </w:rPr>
        <w:t xml:space="preserve">Region:</w:t>
      </w:r>
      <w:r>
        <w:t xml:space="preserve"> </w:t>
      </w:r>
      <w:r>
        <w:t xml:space="preserve">Germany Frankfurt</w:t>
      </w:r>
    </w:p>
    <w:bookmarkStart w:id="20" w:name="executive-summary"/>
    <w:p>
      <w:pPr>
        <w:pStyle w:val="Heading2"/>
      </w:pPr>
      <w:r>
        <w:t xml:space="preserve">Executive Summary</w:t>
      </w:r>
    </w:p>
    <w:p>
      <w:pPr>
        <w:pStyle w:val="FirstParagraph"/>
      </w:pPr>
      <w:r>
        <w:t xml:space="preserve">This comprehensive Sales Report details the performance of The Economist in the Frankfurt metropolitan region during Q3 2023, analyzing subscription growth, digital engagement metrics, and strategic market positioning. As one of Europe's most pivotal financial centers, Germany Frankfurt represents a critical battleground for The Economist's premium business journalism. Our data reveals a 14.7% year-over-year increase in paid subscriptions within the Frankfurt region, outperforming both national German averages (8.2%) and European benchmarks (6.5%). This report underscores how our tailored content strategy has successfully resonated with Frankfurt's unique economic ecosystem, solidifying The Economist's position as the indispensable intelligence source for Germany's financial capital.</w:t>
      </w:r>
    </w:p>
    <w:bookmarkEnd w:id="20"/>
    <w:bookmarkStart w:id="22" w:name="X42e668c30c52eca4cd4769da59c243356d1805b"/>
    <w:p>
      <w:pPr>
        <w:pStyle w:val="Heading2"/>
      </w:pPr>
      <w:r>
        <w:t xml:space="preserve">Market Context: Why Frankfurt Matters for The Economist</w:t>
      </w:r>
    </w:p>
    <w:p>
      <w:pPr>
        <w:pStyle w:val="FirstParagraph"/>
      </w:pPr>
      <w:r>
        <w:t xml:space="preserve">Frankfurt is not merely a city—it is Germany’s undisputed financial nerve center housing the European Central Bank (ECB), Deutsche Börse, and headquarters of 50+ major international banks. With over 4,300 multinational corporations headquartered in the Frankfurt metropolitan area (Statista, 2023), this market represents The Economist's most valuable European demographic: high-net-worth financial decision-makers. The Frankfurt market demands content that directly addresses cross-border trade dynamics, Eurozone monetary policy shifts, and emerging fintech innovations—precisely the expertise The Economist delivers. Our sales team has strategically aligned regional campaigns with Frankfurt’s economic calendar, including ECB policy announcements and Frankfurter Buchmesse literary events.</w:t>
      </w:r>
    </w:p>
    <w:bookmarkStart w:id="21" w:name="Xa38b8ab6ab7c4172e37eb1bb58bce65d701fef9"/>
    <w:p>
      <w:pPr>
        <w:pStyle w:val="Heading3"/>
      </w:pPr>
      <w:r>
        <w:t xml:space="preserve">Key Market Differentiation in Germany Frankfurt</w:t>
      </w:r>
    </w:p>
    <w:p>
      <w:pPr>
        <w:pStyle w:val="FirstParagraph"/>
      </w:pPr>
      <w:r>
        <w:t xml:space="preserve">The Economist's unique value proposition in Frankfurt centers on three pillars: 1) Hyper-localized analysis of the DAX index and German industrial policy, 2) Exclusive access to ECB insider perspectives via our "Frankfurt Briefing" newsletter, and 3) Targeted networking opportunities at our annual Frankfurt Business Summit. Unlike competitors offering generic European coverage, The Economist's Frankfurt-specific insights have generated a 32% higher subscriber retention rate compared to regional press.</w:t>
      </w:r>
    </w:p>
    <w:bookmarkEnd w:id="21"/>
    <w:bookmarkEnd w:id="22"/>
    <w:bookmarkStart w:id="25" w:name="Xa5c7cdb27bfed485bbd096f382a0a350fd3cf1d"/>
    <w:p>
      <w:pPr>
        <w:pStyle w:val="Heading2"/>
      </w:pPr>
      <w:r>
        <w:t xml:space="preserve">Q3 Sales Performance: Data-Driven Insights</w:t>
      </w:r>
    </w:p>
    <w:bookmarkStart w:id="23" w:name="X379c5ece17b934bb87652ad66c08caa3dd95560"/>
    <w:p>
      <w:pPr>
        <w:pStyle w:val="Heading3"/>
      </w:pPr>
      <w:r>
        <w:t xml:space="preserve">Subscription Growth Metrics (Frankfurt Region)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Market Share (Frankfurt)</w:t>
            </w:r>
          </w:p>
        </w:tc>
      </w:tr>
      <w:tr>
        <w:tc>
          <w:tcPr/>
          <w:p>
            <w:pPr>
              <w:pStyle w:val="Compact"/>
              <w:jc w:val="left"/>
            </w:pPr>
            <w:r>
              <w:t xml:space="preserve">Paid Digital Subscribers</w:t>
            </w:r>
          </w:p>
        </w:tc>
        <w:tc>
          <w:tcPr/>
          <w:p>
            <w:pPr>
              <w:pStyle w:val="Compact"/>
              <w:jc w:val="left"/>
            </w:pPr>
            <w:r>
              <w:t xml:space="preserve">18,450</w:t>
            </w:r>
          </w:p>
        </w:tc>
        <w:tc>
          <w:tcPr/>
          <w:p>
            <w:pPr>
              <w:pStyle w:val="Compact"/>
              <w:jc w:val="left"/>
            </w:pPr>
            <w:r>
              <w:t xml:space="preserve">+17.2%</w:t>
            </w:r>
          </w:p>
        </w:tc>
        <w:tc>
          <w:tcPr/>
          <w:p>
            <w:pPr>
              <w:pStyle w:val="Compact"/>
              <w:jc w:val="left"/>
            </w:pPr>
            <w:r>
              <w:t xml:space="preserve">34.6%</w:t>
            </w:r>
          </w:p>
        </w:tc>
      </w:tr>
      <w:tr>
        <w:tc>
          <w:tcPr/>
          <w:p>
            <w:pPr>
              <w:pStyle w:val="Compact"/>
              <w:jc w:val="left"/>
            </w:pPr>
            <w:r>
              <w:t xml:space="preserve">Print + Digital Bundles</w:t>
            </w:r>
          </w:p>
        </w:tc>
        <w:tc>
          <w:tcPr/>
          <w:p>
            <w:pPr>
              <w:pStyle w:val="Compact"/>
              <w:jc w:val="left"/>
            </w:pPr>
            <w:r>
              <w:t xml:space="preserve">8,200</w:t>
            </w:r>
          </w:p>
        </w:tc>
        <w:tc>
          <w:tcPr/>
          <w:p>
            <w:pPr>
              <w:pStyle w:val="Compact"/>
              <w:jc w:val="left"/>
            </w:pPr>
            <w:r>
              <w:t xml:space="preserve">+11.8%</w:t>
            </w:r>
          </w:p>
        </w:tc>
        <w:tc>
          <w:tcPr/>
          <w:p>
            <w:pPr>
              <w:pStyle w:val="Compact"/>
              <w:jc w:val="left"/>
            </w:pPr>
            <w:r>
              <w:t xml:space="preserve">28.7%</w:t>
            </w:r>
          </w:p>
        </w:tc>
      </w:tr>
      <w:tr>
        <w:tc>
          <w:tcPr/>
          <w:p>
            <w:pPr>
              <w:pStyle w:val="Compact"/>
              <w:jc w:val="left"/>
            </w:pPr>
            <w:r>
              <w:t xml:space="preserve">Total Paid Subscribers</w:t>
            </w:r>
          </w:p>
        </w:tc>
        <w:tc>
          <w:tcPr/>
          <w:p>
            <w:pPr>
              <w:pStyle w:val="Compact"/>
              <w:jc w:val="left"/>
            </w:pPr>
            <w:r>
              <w:t xml:space="preserve">26,650</w:t>
            </w:r>
          </w:p>
        </w:tc>
        <w:tc>
          <w:tcPr/>
          <w:p>
            <w:pPr>
              <w:pStyle w:val="Compact"/>
              <w:jc w:val="left"/>
            </w:pPr>
            <w:r>
              <w:t xml:space="preserve">+14.7% YoY</w:t>
            </w:r>
          </w:p>
        </w:tc>
        <w:tc>
          <w:tcPr/>
          <w:p>
            <w:pPr>
              <w:pStyle w:val="Compact"/>
              <w:jc w:val="left"/>
            </w:pPr>
            <w:r>
              <w:t xml:space="preserve">31.2%</w:t>
            </w:r>
          </w:p>
        </w:tc>
      </w:tr>
    </w:tbl>
    <w:bookmarkEnd w:id="23"/>
    <w:bookmarkStart w:id="24" w:name="digital-engagement-benchmarks"/>
    <w:p>
      <w:pPr>
        <w:pStyle w:val="Heading3"/>
      </w:pPr>
      <w:r>
        <w:t xml:space="preserve">Digital Engagement Benchmarks</w:t>
      </w:r>
    </w:p>
    <w:p>
      <w:pPr>
        <w:pStyle w:val="FirstParagraph"/>
      </w:pPr>
      <w:r>
        <w:t xml:space="preserve">Frankfurt users demonstrate exceptional engagement with The Economist's digital platform:</w:t>
      </w:r>
    </w:p>
    <w:p>
      <w:pPr>
        <w:numPr>
          <w:ilvl w:val="0"/>
          <w:numId w:val="1001"/>
        </w:numPr>
        <w:pStyle w:val="Compact"/>
      </w:pPr>
      <w:r>
        <w:rPr>
          <w:bCs/>
          <w:b/>
        </w:rPr>
        <w:t xml:space="preserve">Mobile App Usage:</w:t>
      </w:r>
      <w:r>
        <w:t xml:space="preserve"> </w:t>
      </w:r>
      <w:r>
        <w:t xml:space="preserve">78% of Frankfurt subscribers access content via mobile, exceeding the European average of 65%. Our "Frankfurt Finance Pulse" app feature (real-time DAX alerts) drives a 41% higher session duration.</w:t>
      </w:r>
    </w:p>
    <w:p>
      <w:pPr>
        <w:numPr>
          <w:ilvl w:val="0"/>
          <w:numId w:val="1001"/>
        </w:numPr>
        <w:pStyle w:val="Compact"/>
      </w:pPr>
      <w:r>
        <w:rPr>
          <w:bCs/>
          <w:b/>
        </w:rPr>
        <w:t xml:space="preserve">Email Newsletter Open Rates:</w:t>
      </w:r>
      <w:r>
        <w:t xml:space="preserve"> </w:t>
      </w:r>
      <w:r>
        <w:t xml:space="preserve">48.3% in Frankfurt vs. global average of 32.7%, with the "ECB Watch" newsletter achieving a record-breaking 59% open rate after the July interest rate decision.</w:t>
      </w:r>
    </w:p>
    <w:p>
      <w:pPr>
        <w:numPr>
          <w:ilvl w:val="0"/>
          <w:numId w:val="1001"/>
        </w:numPr>
        <w:pStyle w:val="Compact"/>
      </w:pPr>
      <w:r>
        <w:rPr>
          <w:bCs/>
          <w:b/>
        </w:rPr>
        <w:t xml:space="preserve">Webinar Participation:</w:t>
      </w:r>
      <w:r>
        <w:t xml:space="preserve"> </w:t>
      </w:r>
      <w:r>
        <w:t xml:space="preserve">Frankfurt-based subscribers attend our monthly finance webinars at 2.3x the global rate, directly correlating with new subscription conversions.</w:t>
      </w:r>
    </w:p>
    <w:bookmarkEnd w:id="24"/>
    <w:bookmarkEnd w:id="25"/>
    <w:bookmarkStart w:id="26" w:name="Xfdf2cdc4a3c2fcf6804cf4b286c0ddff5cc1da6"/>
    <w:p>
      <w:pPr>
        <w:pStyle w:val="Heading2"/>
      </w:pPr>
      <w:r>
        <w:t xml:space="preserve">Strategic Challenges in Germany Frankfurt</w:t>
      </w:r>
    </w:p>
    <w:p>
      <w:pPr>
        <w:pStyle w:val="FirstParagraph"/>
      </w:pPr>
      <w:r>
        <w:t xml:space="preserve">Despite strong growth, three market-specific challenges require immediate attention:</w:t>
      </w:r>
    </w:p>
    <w:p>
      <w:pPr>
        <w:numPr>
          <w:ilvl w:val="0"/>
          <w:numId w:val="1002"/>
        </w:numPr>
        <w:pStyle w:val="Compact"/>
      </w:pPr>
      <w:r>
        <w:rPr>
          <w:bCs/>
          <w:b/>
        </w:rPr>
        <w:t xml:space="preserve">Cultural Preference for Print:</w:t>
      </w:r>
      <w:r>
        <w:t xml:space="preserve"> </w:t>
      </w:r>
      <w:r>
        <w:t xml:space="preserve">Frankfurt's traditional financial institutions (e.g., Deutsche Bank, Commerzbank) maintain high print subscription demand. While digital adoption is rising, we must develop targeted "print-to-digital" migration pathways without alienating legacy customers.</w:t>
      </w:r>
    </w:p>
    <w:p>
      <w:pPr>
        <w:numPr>
          <w:ilvl w:val="0"/>
          <w:numId w:val="1002"/>
        </w:numPr>
        <w:pStyle w:val="Compact"/>
      </w:pPr>
      <w:r>
        <w:rPr>
          <w:bCs/>
          <w:b/>
        </w:rPr>
        <w:t xml:space="preserve">Competitive Pressure from Local Players:</w:t>
      </w:r>
      <w:r>
        <w:t xml:space="preserve"> </w:t>
      </w:r>
      <w:r>
        <w:t xml:space="preserve">Frankfurter Allgemeine Zeitung (FAZ) has intensified its business coverage, capturing 18% of our prospective subscribers during Q3. Our counter-strategy involves bundling The Economist with exclusive FAZ analysis via joint content partnerships.</w:t>
      </w:r>
    </w:p>
    <w:p>
      <w:pPr>
        <w:numPr>
          <w:ilvl w:val="0"/>
          <w:numId w:val="1002"/>
        </w:numPr>
        <w:pStyle w:val="Compact"/>
      </w:pPr>
      <w:r>
        <w:rPr>
          <w:bCs/>
          <w:b/>
        </w:rPr>
        <w:t xml:space="preserve">Regulatory Headwinds:</w:t>
      </w:r>
      <w:r>
        <w:t xml:space="preserve"> </w:t>
      </w:r>
      <w:r>
        <w:t xml:space="preserve">Germany's strict data privacy laws (GDPR) require customized consent management for our Frankfurt digital subscribers, increasing onboarding complexity by 22% compared to other EU markets.</w:t>
      </w:r>
    </w:p>
    <w:bookmarkEnd w:id="26"/>
    <w:bookmarkStart w:id="28" w:name="X958f99bac0c49cf89adc5689683a5149346b17f"/>
    <w:p>
      <w:pPr>
        <w:pStyle w:val="Heading2"/>
      </w:pPr>
      <w:r>
        <w:t xml:space="preserve">Frankfurt-Specific Strategic Recommendations</w:t>
      </w:r>
    </w:p>
    <w:bookmarkStart w:id="27" w:name="X0750f89c69a8e65c98583ac0d2299d22d316416"/>
    <w:p>
      <w:pPr>
        <w:pStyle w:val="Heading3"/>
      </w:pPr>
      <w:r>
        <w:t xml:space="preserve">Priority Action Plan for Germany Frankfurt Market</w:t>
      </w:r>
    </w:p>
    <w:p>
      <w:pPr>
        <w:pStyle w:val="FirstParagraph"/>
      </w:pPr>
      <w:r>
        <w:rPr>
          <w:bCs/>
          <w:b/>
        </w:rPr>
        <w:t xml:space="preserve">1. Launch "Frankfurt Financial Intelligence Hub":</w:t>
      </w:r>
      <w:r>
        <w:t xml:space="preserve"> </w:t>
      </w:r>
      <w:r>
        <w:t xml:space="preserve">Create a premium membership tier offering exclusive ECB speaker access, private market analysis sessions, and customized DAX performance dashboards. Initial pricing at €299/year targets corporate HR departments purchasing for leadership teams.</w:t>
      </w:r>
    </w:p>
    <w:p>
      <w:pPr>
        <w:pStyle w:val="BodyText"/>
      </w:pPr>
      <w:r>
        <w:rPr>
          <w:bCs/>
          <w:b/>
        </w:rPr>
        <w:t xml:space="preserve">2. Forge Strategic Alliances:</w:t>
      </w:r>
      <w:r>
        <w:t xml:space="preserve"> </w:t>
      </w:r>
      <w:r>
        <w:t xml:space="preserve">Partner with Deutsche Börse Group to co-host quarterly "Market Pulse" events in Frankfurt, embedding The Economist brand into the city's financial infrastructure.</w:t>
      </w:r>
    </w:p>
    <w:p>
      <w:pPr>
        <w:pStyle w:val="BodyText"/>
      </w:pPr>
      <w:r>
        <w:rPr>
          <w:bCs/>
          <w:b/>
        </w:rPr>
        <w:t xml:space="preserve">3. Optimize GDPR Compliance:</w:t>
      </w:r>
      <w:r>
        <w:t xml:space="preserve"> </w:t>
      </w:r>
      <w:r>
        <w:t xml:space="preserve">Develop a streamlined consent flow for German users that maintains privacy standards while reducing subscription friction by 35% (projected by Q1 2024).</w:t>
      </w:r>
    </w:p>
    <w:bookmarkEnd w:id="27"/>
    <w:bookmarkEnd w:id="28"/>
    <w:bookmarkStart w:id="29" w:name="X942e2e6c4a191a27e502b92348abc794593790a"/>
    <w:p>
      <w:pPr>
        <w:pStyle w:val="Heading2"/>
      </w:pPr>
      <w:r>
        <w:t xml:space="preserve">Conclusion: The Economist's Frankfurt Imperative</w:t>
      </w:r>
    </w:p>
    <w:p>
      <w:pPr>
        <w:pStyle w:val="FirstParagraph"/>
      </w:pPr>
      <w:r>
        <w:t xml:space="preserve">The Frankfurt market is the linchpin of The Economist's European success story. Our Q3 results prove that hyper-localized content delivery combined with deep understanding of Germany’s financial ecosystem drives sustainable growth. As Europe navigates energy transition challenges and geopolitical volatility, the demand for The Economist’s nuanced analysis in Frankfurt will only intensify. We recommend doubling down on our Frankfurt-centric strategy through 2024, with a target of achieving 40% market share in premium business publications within Germany by Q4 2025. This Sales Report confirms that when The Economist speaks directly to the pulse of Germany's financial capital—Frankfurt—we don't just sell subscriptions; we become the essential intelligence engine for European economic leadership.</w:t>
      </w:r>
    </w:p>
    <w:p>
      <w:pPr>
        <w:pStyle w:val="BodyText"/>
      </w:pPr>
      <w:r>
        <w:t xml:space="preserve">The Economist Global Sales Report | Germany Frankfurt Market Analysis | Confidential - For Internal Use Only</w:t>
      </w:r>
    </w:p>
    <w:p>
      <w:pPr>
        <w:pStyle w:val="BodyText"/>
      </w:pPr>
      <w: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 Germany Frankfurt Market</dc:title>
  <dc:creator/>
  <dc:language>en</dc:language>
  <cp:keywords/>
  <dcterms:created xsi:type="dcterms:W3CDTF">2026-07-24T08:37:08Z</dcterms:created>
  <dcterms:modified xsi:type="dcterms:W3CDTF">2026-07-24T08:37:08Z</dcterms:modified>
</cp:coreProperties>
</file>

<file path=docProps/custom.xml><?xml version="1.0" encoding="utf-8"?>
<Properties xmlns="http://schemas.openxmlformats.org/officeDocument/2006/custom-properties" xmlns:vt="http://schemas.openxmlformats.org/officeDocument/2006/docPropsVTypes"/>
</file>