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9" w:name="X4f9ccae3b585b474aa5bb2181adc54006be1013"/>
    <w:p>
      <w:pPr>
        <w:pStyle w:val="Heading1"/>
      </w:pPr>
      <w:r>
        <w:t xml:space="preserve">The Economist Sales Report | Germany Munich Market Performance</w:t>
      </w:r>
    </w:p>
    <w:p>
      <w:pPr>
        <w:pStyle w:val="FirstParagraph"/>
      </w:pPr>
      <w:r>
        <w:t xml:space="preserve">Quarterly Executive Summary | Q3 2023 | Prepared for Global Sales Leadership</w:t>
      </w:r>
    </w:p>
    <w:bookmarkStart w:id="20" w:name="X33c2b716fef4216bb5e3b109e41308a20f4810c"/>
    <w:p>
      <w:pPr>
        <w:pStyle w:val="Heading2"/>
      </w:pPr>
      <w:r>
        <w:t xml:space="preserve">Introduction: The Economist in the Heart of Germany Munich</w:t>
      </w:r>
    </w:p>
    <w:p>
      <w:pPr>
        <w:pStyle w:val="FirstParagraph"/>
      </w:pPr>
      <w:r>
        <w:t xml:space="preserve">This comprehensive Sales Report details the performance of</w:t>
      </w:r>
      <w:r>
        <w:t xml:space="preserve"> </w:t>
      </w:r>
      <w:r>
        <w:rPr>
          <w:iCs/>
          <w:i/>
        </w:rPr>
        <w:t xml:space="preserve">The Economist</w:t>
      </w:r>
      <w:r>
        <w:t xml:space="preserve"> </w:t>
      </w:r>
      <w:r>
        <w:t xml:space="preserve">in the strategically vital German market, with particular focus on Munich—a city representing Germany's economic engine and innovation hub. As one of Europe's most sophisticated media markets, Munich demands exceptional content delivery and subscription conversion. This report analyzes how</w:t>
      </w:r>
      <w:r>
        <w:t xml:space="preserve"> </w:t>
      </w:r>
      <w:r>
        <w:rPr>
          <w:iCs/>
          <w:i/>
        </w:rPr>
        <w:t xml:space="preserve">The Economist</w:t>
      </w:r>
      <w:r>
        <w:t xml:space="preserve"> </w:t>
      </w:r>
      <w:r>
        <w:t xml:space="preserve">has navigated this competitive landscape while reinforcing its position as the premier global intelligence source for Germany's executive class.</w:t>
      </w:r>
    </w:p>
    <w:bookmarkEnd w:id="20"/>
    <w:bookmarkStart w:id="21" w:name="X45dec1f3e031e4a6199d11f82aa65031191fb10"/>
    <w:p>
      <w:pPr>
        <w:pStyle w:val="Heading2"/>
      </w:pPr>
      <w:r>
        <w:t xml:space="preserve">Market Context: Why Germany Munich Matters</w:t>
      </w:r>
    </w:p>
    <w:p>
      <w:pPr>
        <w:pStyle w:val="FirstParagraph"/>
      </w:pPr>
      <w:r>
        <w:t xml:space="preserve">Munich, the economic capital of Bavaria, hosts headquarters of BMW, Siemens, and Allianz—making it a critical sales territory for premium business publications. With 1.5 million residents and 200+ multinational corporate offices within 30km radius,</w:t>
      </w:r>
      <w:r>
        <w:t xml:space="preserve"> </w:t>
      </w:r>
      <w:r>
        <w:rPr>
          <w:iCs/>
          <w:i/>
        </w:rPr>
        <w:t xml:space="preserve">Germany Munich</w:t>
      </w:r>
      <w:r>
        <w:t xml:space="preserve"> </w:t>
      </w:r>
      <w:r>
        <w:t xml:space="preserve">represents a high-value audience segment seeking geopolitical and economic analysis beyond standard German media coverage. The</w:t>
      </w:r>
      <w:r>
        <w:t xml:space="preserve"> </w:t>
      </w:r>
      <w:r>
        <w:rPr>
          <w:iCs/>
          <w:i/>
        </w:rPr>
        <w:t xml:space="preserve">Economist</w:t>
      </w:r>
      <w:r>
        <w:t xml:space="preserve">'s subscription model thrives here due to Munich's concentration of C-suite executives, policy makers, and international investors who demand authoritative global perspectives.</w:t>
      </w:r>
    </w:p>
    <w:bookmarkEnd w:id="21"/>
    <w:bookmarkStart w:id="22" w:name="q3-2023-sales-performance-key-metrics"/>
    <w:p>
      <w:pPr>
        <w:pStyle w:val="Heading2"/>
      </w:pPr>
      <w:r>
        <w:t xml:space="preserve">Q3 2023 Sales Performance: Key Metrics</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Digital Subscription Growth (Munich)</w:t>
      </w:r>
    </w:p>
    <w:p>
      <w:pPr>
        <w:pStyle w:val="BodyText"/>
      </w:pPr>
      <w:r>
        <w:t xml:space="preserve">14.7%</w:t>
      </w:r>
    </w:p>
    <w:p>
      <w:pPr>
        <w:pStyle w:val="BodyText"/>
      </w:pPr>
      <w:r>
        <w:t xml:space="preserve">10.2%</w:t>
      </w:r>
    </w:p>
    <w:p>
      <w:pPr>
        <w:pStyle w:val="BodyText"/>
      </w:pPr>
      <w:r>
        <w:t xml:space="preserve">+23.5%</w:t>
      </w:r>
    </w:p>
    <w:p>
      <w:pPr>
        <w:pStyle w:val="BodyText"/>
      </w:pPr>
      <w:r>
        <w:t xml:space="preserve">Print + Digital Bundle Sales</w:t>
      </w:r>
    </w:p>
    <w:p>
      <w:pPr>
        <w:pStyle w:val="BodyText"/>
      </w:pPr>
      <w:r>
        <w:t xml:space="preserve">8,250 subscriptions</w:t>
      </w:r>
    </w:p>
    <w:p>
      <w:pPr>
        <w:pStyle w:val="BodyText"/>
      </w:pPr>
      <w:r>
        <w:t xml:space="preserve">7,610 subscriptions</w:t>
      </w:r>
    </w:p>
    <w:p>
      <w:pPr>
        <w:pStyle w:val="BodyText"/>
      </w:pPr>
      <w:r>
        <w:t xml:space="preserve">+8.4%</w:t>
      </w:r>
    </w:p>
    <w:p>
      <w:pPr>
        <w:pStyle w:val="BodyText"/>
      </w:pPr>
      <w:r>
        <w:t xml:space="preserve">Corporate Account Penetration</w:t>
      </w:r>
    </w:p>
    <w:p>
      <w:pPr>
        <w:pStyle w:val="BodyText"/>
      </w:pPr>
      <w:r>
        <w:t xml:space="preserve">32 new enterprise contracts</w:t>
      </w:r>
    </w:p>
    <w:p>
      <w:pPr>
        <w:pStyle w:val="BodyText"/>
      </w:pPr>
      <w:r>
        <w:t xml:space="preserve">27 new contracts</w:t>
      </w:r>
    </w:p>
    <w:p>
      <w:pPr>
        <w:pStyle w:val="BodyText"/>
      </w:pPr>
      <w:r>
        <w:t xml:space="preserve">+18.5%</w:t>
      </w:r>
    </w:p>
    <w:p>
      <w:pPr>
        <w:pStyle w:val="BodyText"/>
      </w:pPr>
      <w:r>
        <w:t xml:space="preserve">Subscription Churn Rate (Munich)</w:t>
      </w:r>
    </w:p>
    <w:p>
      <w:pPr>
        <w:pStyle w:val="BodyText"/>
      </w:pPr>
      <w:r>
        <w:t xml:space="preserve">4.3%</w:t>
      </w:r>
    </w:p>
    <w:bookmarkEnd w:id="22"/>
    <w:bookmarkStart w:id="23" w:name="X61dde80075825c90b145f44311b88f667cd4f9e"/>
    <w:p>
      <w:pPr>
        <w:pStyle w:val="Heading2"/>
      </w:pPr>
      <w:r>
        <w:t xml:space="preserve">Strategic Insights Driving Munich Success</w:t>
      </w:r>
    </w:p>
    <w:p>
      <w:pPr>
        <w:pStyle w:val="FirstParagraph"/>
      </w:pPr>
      <w:r>
        <w:t xml:space="preserve">The exceptional growth in the Munich market stems from three key initiatives integrated into our Germany strategy:</w:t>
      </w:r>
    </w:p>
    <w:p>
      <w:pPr>
        <w:numPr>
          <w:ilvl w:val="0"/>
          <w:numId w:val="1001"/>
        </w:numPr>
        <w:pStyle w:val="Compact"/>
      </w:pPr>
      <w:r>
        <w:rPr>
          <w:bCs/>
          <w:b/>
        </w:rPr>
        <w:t xml:space="preserve">Localized Content Partnerships:</w:t>
      </w:r>
      <w:r>
        <w:t xml:space="preserve"> </w:t>
      </w:r>
      <w:r>
        <w:t xml:space="preserve">Collaborations with Munich-based think tanks (e.g., ifo Institute, Bertelsmann Stiftung) to co-produce region-specific reports on European policy, directly referenced in The Economist's digital editions.</w:t>
      </w:r>
    </w:p>
    <w:p>
      <w:pPr>
        <w:numPr>
          <w:ilvl w:val="0"/>
          <w:numId w:val="1001"/>
        </w:numPr>
        <w:pStyle w:val="Compact"/>
      </w:pPr>
      <w:r>
        <w:rPr>
          <w:bCs/>
          <w:b/>
        </w:rPr>
        <w:t xml:space="preserve">Executive Experience Program:</w:t>
      </w:r>
      <w:r>
        <w:t xml:space="preserve"> </w:t>
      </w:r>
      <w:r>
        <w:t xml:space="preserve">Exclusive in-person briefings at Munich venues like the Bayerischer Hof and BMW Welt, where subscribers receive tailored market analysis before official release.</w:t>
      </w:r>
    </w:p>
    <w:p>
      <w:pPr>
        <w:numPr>
          <w:ilvl w:val="0"/>
          <w:numId w:val="1001"/>
        </w:numPr>
        <w:pStyle w:val="Compact"/>
      </w:pPr>
      <w:r>
        <w:rPr>
          <w:bCs/>
          <w:b/>
        </w:rPr>
        <w:t xml:space="preserve">German Language Digital Enhancement:</w:t>
      </w:r>
      <w:r>
        <w:t xml:space="preserve"> </w:t>
      </w:r>
      <w:r>
        <w:t xml:space="preserve">Strategic placement of key articles in German alongside English originals to reduce language barriers for high-net-worth German executives.</w:t>
      </w:r>
    </w:p>
    <w:bookmarkEnd w:id="23"/>
    <w:bookmarkStart w:id="24" w:name="competitive-landscape-analysis"/>
    <w:p>
      <w:pPr>
        <w:pStyle w:val="Heading2"/>
      </w:pPr>
      <w:r>
        <w:t xml:space="preserve">Competitive Landscape Analysis</w:t>
      </w:r>
    </w:p>
    <w:p>
      <w:pPr>
        <w:pStyle w:val="FirstParagraph"/>
      </w:pPr>
      <w:r>
        <w:t xml:space="preserve">In the</w:t>
      </w:r>
      <w:r>
        <w:t xml:space="preserve"> </w:t>
      </w:r>
      <w:r>
        <w:rPr>
          <w:iCs/>
          <w:i/>
        </w:rPr>
        <w:t xml:space="preserve">Germany Munich</w:t>
      </w:r>
      <w:r>
        <w:t xml:space="preserve"> </w:t>
      </w:r>
      <w:r>
        <w:t xml:space="preserve">market, The Economist dominates among premium business publications. Competitor analysis reveals:</w:t>
      </w:r>
    </w:p>
    <w:p>
      <w:pPr>
        <w:pStyle w:val="BlockText"/>
      </w:pPr>
      <w:r>
        <w:t xml:space="preserve">"While Handelsblatt and Financial Times capture German business news,</w:t>
      </w:r>
      <w:r>
        <w:t xml:space="preserve"> </w:t>
      </w:r>
      <w:r>
        <w:rPr>
          <w:iCs/>
          <w:i/>
        </w:rPr>
        <w:t xml:space="preserve">The Economist</w:t>
      </w:r>
      <w:r>
        <w:t xml:space="preserve"> </w:t>
      </w:r>
      <w:r>
        <w:t xml:space="preserve">uniquely delivers global context that Munich executives demand. Our market research shows a 67% preference for The Economist over competitors when analyzing cross-border investments in Central Europe."</w:t>
      </w:r>
      <w:r>
        <w:br/>
      </w:r>
      <w:r>
        <w:rPr>
          <w:bCs/>
          <w:b/>
        </w:rPr>
        <w:t xml:space="preserve">- Munich Media Insight Survey, Q2 2023</w:t>
      </w:r>
    </w:p>
    <w:bookmarkEnd w:id="24"/>
    <w:bookmarkStart w:id="25" w:name="X434fa998c8b7f35524ccdef1b95fb296ab9daf1"/>
    <w:p>
      <w:pPr>
        <w:pStyle w:val="Heading2"/>
      </w:pPr>
      <w:r>
        <w:t xml:space="preserve">Customer Segmentation: Munich's Premium Audience</w:t>
      </w:r>
    </w:p>
    <w:p>
      <w:pPr>
        <w:pStyle w:val="FirstParagraph"/>
      </w:pPr>
      <w:r>
        <w:t xml:space="preserve">Our Sales Report identifies three high-value segments in Munich:</w:t>
      </w:r>
    </w:p>
    <w:p>
      <w:pPr>
        <w:numPr>
          <w:ilvl w:val="0"/>
          <w:numId w:val="1002"/>
        </w:numPr>
        <w:pStyle w:val="Compact"/>
      </w:pPr>
      <w:r>
        <w:rPr>
          <w:bCs/>
          <w:b/>
        </w:rPr>
        <w:t xml:space="preserve">C-Suite Executives (58% of sales):</w:t>
      </w:r>
      <w:r>
        <w:t xml:space="preserve"> </w:t>
      </w:r>
      <w:r>
        <w:t xml:space="preserve">Demand the weekly edition for strategic decision-making. Their retention rate exceeds 89% due to The Economist's unique geopolitical analysis.</w:t>
      </w:r>
    </w:p>
    <w:p>
      <w:pPr>
        <w:numPr>
          <w:ilvl w:val="0"/>
          <w:numId w:val="1002"/>
        </w:numPr>
        <w:pStyle w:val="Compact"/>
      </w:pPr>
      <w:r>
        <w:rPr>
          <w:bCs/>
          <w:b/>
        </w:rPr>
        <w:t xml:space="preserve">Policy &amp; Diplomacy Sector (27%):</w:t>
      </w:r>
      <w:r>
        <w:t xml:space="preserve"> </w:t>
      </w:r>
      <w:r>
        <w:t xml:space="preserve">Munich hosts EU delegation offices; subscriptions are purchased by German foreign ministry staff seeking global economic trends.</w:t>
      </w:r>
    </w:p>
    <w:p>
      <w:pPr>
        <w:numPr>
          <w:ilvl w:val="0"/>
          <w:numId w:val="1002"/>
        </w:numPr>
        <w:pStyle w:val="Compact"/>
      </w:pPr>
      <w:r>
        <w:rPr>
          <w:bCs/>
          <w:b/>
        </w:rPr>
        <w:t xml:space="preserve">International Business Community (15%):</w:t>
      </w:r>
      <w:r>
        <w:t xml:space="preserve"> </w:t>
      </w:r>
      <w:r>
        <w:t xml:space="preserve">Foreign companies operating in Munich prioritize The Economist for market intelligence, especially for China/EU trade dynamics.</w:t>
      </w:r>
    </w:p>
    <w:bookmarkEnd w:id="25"/>
    <w:bookmarkStart w:id="26" w:name="challenges-and-strategic-response"/>
    <w:p>
      <w:pPr>
        <w:pStyle w:val="Heading2"/>
      </w:pPr>
      <w:r>
        <w:t xml:space="preserve">Challenges and Strategic Response</w:t>
      </w:r>
    </w:p>
    <w:p>
      <w:pPr>
        <w:pStyle w:val="FirstParagraph"/>
      </w:pPr>
      <w:r>
        <w:t xml:space="preserve">The primary challenge in the Germany Munich market is digital competition from free news aggregators. To counter this:</w:t>
      </w:r>
    </w:p>
    <w:p>
      <w:pPr>
        <w:numPr>
          <w:ilvl w:val="0"/>
          <w:numId w:val="1003"/>
        </w:numPr>
        <w:pStyle w:val="Compact"/>
      </w:pPr>
      <w:r>
        <w:t xml:space="preserve">Launched "Munich Insights" newsletter with exclusive data on Bavarian economic indicators</w:t>
      </w:r>
    </w:p>
    <w:p>
      <w:pPr>
        <w:numPr>
          <w:ilvl w:val="0"/>
          <w:numId w:val="1003"/>
        </w:numPr>
        <w:pStyle w:val="Compact"/>
      </w:pPr>
      <w:r>
        <w:t xml:space="preserve">Introduced subscription bundling with Deutsche Bank's premium services for corporate clients</w:t>
      </w:r>
    </w:p>
    <w:p>
      <w:pPr>
        <w:numPr>
          <w:ilvl w:val="0"/>
          <w:numId w:val="1003"/>
        </w:numPr>
        <w:pStyle w:val="Compact"/>
      </w:pPr>
      <w:r>
        <w:t xml:space="preserve">Implemented AI-driven content recommendations tailored to Munich business interests (e.g., automotive tech, renewable energy)</w:t>
      </w:r>
    </w:p>
    <w:bookmarkEnd w:id="26"/>
    <w:bookmarkStart w:id="27" w:name="X36099815687070145b959ee7ba807dc586e4fe5"/>
    <w:p>
      <w:pPr>
        <w:pStyle w:val="Heading2"/>
      </w:pPr>
      <w:r>
        <w:t xml:space="preserve">Future Roadmap: The Economist in Germany Munich</w:t>
      </w:r>
    </w:p>
    <w:p>
      <w:pPr>
        <w:pStyle w:val="FirstParagraph"/>
      </w:pPr>
      <w:r>
        <w:t xml:space="preserve">Based on this Sales Report, we recommend the following for sustained growth in Munich:</w:t>
      </w:r>
    </w:p>
    <w:p>
      <w:pPr>
        <w:numPr>
          <w:ilvl w:val="0"/>
          <w:numId w:val="1004"/>
        </w:numPr>
        <w:pStyle w:val="Compact"/>
      </w:pPr>
      <w:r>
        <w:rPr>
          <w:bCs/>
          <w:b/>
        </w:rPr>
        <w:t xml:space="preserve">Expand Munich Digital Hub:</w:t>
      </w:r>
      <w:r>
        <w:t xml:space="preserve"> </w:t>
      </w:r>
      <w:r>
        <w:t xml:space="preserve">Establish a dedicated local content team to produce region-specific video explainers for The Economist's app (launch Q1 2024).</w:t>
      </w:r>
    </w:p>
    <w:p>
      <w:pPr>
        <w:numPr>
          <w:ilvl w:val="0"/>
          <w:numId w:val="1004"/>
        </w:numPr>
        <w:pStyle w:val="Compact"/>
      </w:pPr>
      <w:r>
        <w:rPr>
          <w:bCs/>
          <w:b/>
        </w:rPr>
        <w:t xml:space="preserve">Sponsorship Partnerships:</w:t>
      </w:r>
      <w:r>
        <w:t xml:space="preserve"> </w:t>
      </w:r>
      <w:r>
        <w:t xml:space="preserve">Collaborate with Munich Innovation Week and Bavarian Economic Forum for co-branded events.</w:t>
      </w:r>
    </w:p>
    <w:p>
      <w:pPr>
        <w:numPr>
          <w:ilvl w:val="0"/>
          <w:numId w:val="1004"/>
        </w:numPr>
        <w:pStyle w:val="Compact"/>
      </w:pPr>
      <w:r>
        <w:rPr>
          <w:bCs/>
          <w:b/>
        </w:rPr>
        <w:t xml:space="preserve">Employee Advocacy Program:</w:t>
      </w:r>
      <w:r>
        <w:t xml:space="preserve"> </w:t>
      </w:r>
      <w:r>
        <w:t xml:space="preserve">Leverage existing Munich subscriber base to create peer-to-peer referral networks within corporate clusters.</w:t>
      </w:r>
    </w:p>
    <w:bookmarkEnd w:id="27"/>
    <w:bookmarkStart w:id="28" w:name="Xcdb9c8052ec94071ebfecf3e8713355cff922c0"/>
    <w:p>
      <w:pPr>
        <w:pStyle w:val="Heading2"/>
      </w:pPr>
      <w:r>
        <w:t xml:space="preserve">Conclusion: The Economist's Strategic Imperative in Germany Munich</w:t>
      </w:r>
    </w:p>
    <w:p>
      <w:pPr>
        <w:pStyle w:val="FirstParagraph"/>
      </w:pPr>
      <w:r>
        <w:t xml:space="preserve">This Sales Report confirms that The Economist has achieved exceptional growth in the Germany Munich market through hyper-localized engagement with its premium audience. With digital subscriptions up 14.7% and corporate accounts growing at 18.5%, Munich continues to be our highest-value territory outside London and New York.</w:t>
      </w:r>
    </w:p>
    <w:p>
      <w:pPr>
        <w:pStyle w:val="BodyText"/>
      </w:pPr>
      <w:r>
        <w:t xml:space="preserve">The Economist's unique value proposition—combining global perspective with actionable intelligence for European business leaders—resonates powerfully in this market. As Germany's economic nerve center, Munich remains critical to our European expansion strategy. We project 12-15% year-on-year growth in Munich through Q4 2023, driven by our localized content initiatives and strategic corporate partnerships.</w:t>
      </w:r>
    </w:p>
    <w:p>
      <w:pPr>
        <w:pStyle w:val="BodyText"/>
      </w:pPr>
      <w:r>
        <w:rPr>
          <w:bCs/>
          <w:b/>
        </w:rPr>
        <w:t xml:space="preserve">Final Recommendation:</w:t>
      </w:r>
      <w:r>
        <w:t xml:space="preserve"> </w:t>
      </w:r>
      <w:r>
        <w:t xml:space="preserve">Double down on Munich as the flagship model for European premium subscription growth. The Economist's performance here proves that audience-centric localization drives revenue in sophisticated markets—making this Sales Report a blueprint for Germany and all of Europe.</w:t>
      </w:r>
    </w:p>
    <w:p>
      <w:pPr>
        <w:pStyle w:val="BodyText"/>
      </w:pPr>
      <w:r>
        <w:t xml:space="preserve">Prepared by Global Sales Intelligence Team</w:t>
      </w:r>
      <w:r>
        <w:br/>
      </w:r>
      <w:r>
        <w:t xml:space="preserve">The Economist Group | Munich Office</w:t>
      </w:r>
      <w:r>
        <w:br/>
      </w:r>
      <w:r>
        <w:t xml:space="preserve">"The World in Your Hands" — A global standard since 1843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Germany Munich Market Analysis</dc:title>
  <dc:creator/>
  <dc:language>en</dc:language>
  <cp:keywords/>
  <dcterms:created xsi:type="dcterms:W3CDTF">2026-07-24T05:53:41Z</dcterms:created>
  <dcterms:modified xsi:type="dcterms:W3CDTF">2026-07-24T05:53:41Z</dcterms:modified>
</cp:coreProperties>
</file>

<file path=docProps/custom.xml><?xml version="1.0" encoding="utf-8"?>
<Properties xmlns="http://schemas.openxmlformats.org/officeDocument/2006/custom-properties" xmlns:vt="http://schemas.openxmlformats.org/officeDocument/2006/docPropsVTypes"/>
</file>