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Indonesia</w:t>
      </w:r>
      <w:r>
        <w:t xml:space="preserve"> </w:t>
      </w:r>
      <w:r>
        <w:t xml:space="preserve">Jakarta</w:t>
      </w:r>
      <w:r>
        <w:t xml:space="preserve"> </w:t>
      </w:r>
      <w:r>
        <w:t xml:space="preserve">Market</w:t>
      </w:r>
      <w:r>
        <w:t xml:space="preserve"> </w:t>
      </w:r>
      <w:r>
        <w:t xml:space="preserve">Performance</w:t>
      </w:r>
    </w:p>
    <w:bookmarkStart w:id="28" w:name="X27d8c92179ee10bb302d68b721528526a724e0d"/>
    <w:p>
      <w:pPr>
        <w:pStyle w:val="Heading1"/>
      </w:pPr>
      <w:r>
        <w:t xml:space="preserve">Quarterly Sales Report: The Economist Subscription Performance in Indonesia Jakarta (Q2 2024)</w:t>
      </w:r>
    </w:p>
    <w:p>
      <w:pPr>
        <w:pStyle w:val="FirstParagraph"/>
      </w:pPr>
      <w:r>
        <w:rPr>
          <w:bCs/>
          <w:b/>
        </w:rPr>
        <w:t xml:space="preserve">Prepared For:</w:t>
      </w:r>
      <w:r>
        <w:t xml:space="preserve"> </w:t>
      </w:r>
      <w:r>
        <w:t xml:space="preserve">Global Sales Leadership &amp; Regional Strategy Committee</w:t>
      </w:r>
      <w:r>
        <w:br/>
      </w:r>
      <w:r>
        <w:rPr>
          <w:bCs/>
          <w:b/>
        </w:rPr>
        <w:t xml:space="preserve">Report Period:</w:t>
      </w:r>
      <w:r>
        <w:t xml:space="preserve"> </w:t>
      </w:r>
      <w:r>
        <w:t xml:space="preserve">January 1, 2024 - June 30, 2024</w:t>
      </w:r>
      <w:r>
        <w:br/>
      </w:r>
      <w:r>
        <w:rPr>
          <w:bCs/>
          <w:b/>
        </w:rPr>
        <w:t xml:space="preserve">Date:</w:t>
      </w:r>
      <w:r>
        <w:t xml:space="preserve"> </w:t>
      </w:r>
      <w:r>
        <w:t xml:space="preserve">July 15, 2024</w:t>
      </w:r>
      <w:r>
        <w:br/>
      </w:r>
      <w:r>
        <w:rPr>
          <w:bCs/>
          <w:b/>
        </w:rPr>
        <w:t xml:space="preserve">Prepared By:</w:t>
      </w:r>
      <w:r>
        <w:t xml:space="preserve"> </w:t>
      </w:r>
      <w:r>
        <w:t xml:space="preserve">Jakarta Regional Sales Operations Team</w:t>
      </w:r>
    </w:p>
    <w:bookmarkStart w:id="20" w:name="i.-executive-summary"/>
    <w:p>
      <w:pPr>
        <w:pStyle w:val="Heading2"/>
      </w:pPr>
      <w:r>
        <w:t xml:space="preserve">I. Executive Summary</w:t>
      </w:r>
    </w:p>
    <w:p>
      <w:pPr>
        <w:pStyle w:val="FirstParagraph"/>
      </w:pPr>
      <w:r>
        <w:t xml:space="preserve">The Economist's subscription sales in Indonesia Jakarta demonstrated resilient growth during Q2 2024, outperforming regional targets by 18% and solidifying our position as the premium economic intelligence provider within Indonesia's business ecosystem. This report details strategic market penetration, customer acquisition metrics, digital transformation impacts, and actionable recommendations for sustaining momentum in Jakarta—a city that represents 37% of The Economist's total Indonesian subscription base. Despite regional economic headwinds (including Bank Indonesia's recent interest rate adjustments), Jakarta-based enterprise sales increased by 22.4%, driven by heightened demand for geopolitical insights amid Southeast Asia's evolving trade dynamics.</w:t>
      </w:r>
    </w:p>
    <w:bookmarkEnd w:id="20"/>
    <w:bookmarkStart w:id="21" w:name="Xff929d2b0a1aceb4d339c112dbfeec504e5f8dd"/>
    <w:p>
      <w:pPr>
        <w:pStyle w:val="Heading2"/>
      </w:pPr>
      <w:r>
        <w:t xml:space="preserve">II. Jakarta Market Context: Why This City Matters</w:t>
      </w:r>
    </w:p>
    <w:p>
      <w:pPr>
        <w:pStyle w:val="FirstParagraph"/>
      </w:pPr>
      <w:r>
        <w:t xml:space="preserve">As Indonesia’s economic capital and home to over 10 million professionals, Jakarta serves as the critical gateway for The Economist's growth strategy in Southeast Asia. The city hosts 68% of Indonesia's Fortune 500 subsidiaries, numerous central bank decision-makers (Bank Indonesia), and key industry associations like KADIN (Chamber of Commerce). Recent data from the Jakarta Development Board shows a 12.3% YoY increase in foreign business investment—directly correlating with demand for high-value economic analysis. The Economist's unique positioning as the "only publication offering global economic foresight with local Indonesia relevance" has become our strongest competitive advantage here.</w:t>
      </w:r>
    </w:p>
    <w:bookmarkEnd w:id="21"/>
    <w:bookmarkStart w:id="23" w:name="X15d8595e3d92f644ba81d2e5451d3dad07ebd2a"/>
    <w:p>
      <w:pPr>
        <w:pStyle w:val="Heading2"/>
      </w:pPr>
      <w:r>
        <w:t xml:space="preserve">III. Q2 2024 Sales Performance Highlights: Jakarta Focus</w:t>
      </w:r>
    </w:p>
    <w:p>
      <w:pPr>
        <w:pStyle w:val="FirstParagraph"/>
      </w:pPr>
      <w:r>
        <w:rPr>
          <w:bCs/>
          <w:b/>
        </w:rPr>
        <w:t xml:space="preserve">Key Metrics:</w:t>
      </w:r>
    </w:p>
    <w:p>
      <w:pPr>
        <w:numPr>
          <w:ilvl w:val="0"/>
          <w:numId w:val="1001"/>
        </w:numPr>
        <w:pStyle w:val="Compact"/>
      </w:pPr>
      <w:r>
        <w:rPr>
          <w:bCs/>
          <w:b/>
        </w:rPr>
        <w:t xml:space="preserve">Subscription Growth:</w:t>
      </w:r>
      <w:r>
        <w:t xml:space="preserve"> </w:t>
      </w:r>
      <w:r>
        <w:t xml:space="preserve">+19.7% YoY in Jakarta (vs. 15.3% national average), reaching 8,245 active subscriptions as of June 30.</w:t>
      </w:r>
    </w:p>
    <w:p>
      <w:pPr>
        <w:numPr>
          <w:ilvl w:val="0"/>
          <w:numId w:val="1001"/>
        </w:numPr>
        <w:pStyle w:val="Compact"/>
      </w:pPr>
      <w:r>
        <w:rPr>
          <w:bCs/>
          <w:b/>
        </w:rPr>
        <w:t xml:space="preserve">Enterprise Acquisitions:</w:t>
      </w:r>
      <w:r>
        <w:t xml:space="preserve"> </w:t>
      </w:r>
      <w:r>
        <w:t xml:space="preserve">42 new corporate clients (including three Fortune Global 500 Indonesian subsidiaries), contributing to a $1.8M annualized revenue stream.</w:t>
      </w:r>
    </w:p>
    <w:p>
      <w:pPr>
        <w:numPr>
          <w:ilvl w:val="0"/>
          <w:numId w:val="1001"/>
        </w:numPr>
        <w:pStyle w:val="Compact"/>
      </w:pPr>
      <w:r>
        <w:rPr>
          <w:bCs/>
          <w:b/>
        </w:rPr>
        <w:t xml:space="preserve">Digital Adoption:</w:t>
      </w:r>
      <w:r>
        <w:t xml:space="preserve"> </w:t>
      </w:r>
      <w:r>
        <w:t xml:space="preserve">76% of Jakarta subscribers now use The Economist's app/website, up from 68% in Q1—driven by tailored content on Indonesia's digital economy (e.g., "Indonesia Tech Summit" coverage).</w:t>
      </w:r>
    </w:p>
    <w:p>
      <w:pPr>
        <w:numPr>
          <w:ilvl w:val="0"/>
          <w:numId w:val="1001"/>
        </w:numPr>
        <w:pStyle w:val="Compact"/>
      </w:pPr>
      <w:r>
        <w:rPr>
          <w:bCs/>
          <w:b/>
        </w:rPr>
        <w:t xml:space="preserve">Churn Rate:</w:t>
      </w:r>
      <w:r>
        <w:t xml:space="preserve"> </w:t>
      </w:r>
      <w:r>
        <w:t xml:space="preserve">Reduced to 4.2% (below global average of 5.8%), attributed to our Jakarta-specific "Economist Executive Briefing" workshops.</w:t>
      </w:r>
    </w:p>
    <w:bookmarkStart w:id="22" w:name="a.-channel-performance-breakdown"/>
    <w:p>
      <w:pPr>
        <w:pStyle w:val="Heading3"/>
      </w:pPr>
      <w:r>
        <w:t xml:space="preserve">A. Channel Performance Breakdown</w:t>
      </w:r>
    </w:p>
    <w:p>
      <w:pPr>
        <w:pStyle w:val="FirstParagraph"/>
      </w:pPr>
      <w:r>
        <w:rPr>
          <w:iCs/>
          <w:i/>
        </w:rPr>
        <w:t xml:space="preserve">Enterprise Sales (60% of Jakarta revenue):</w:t>
      </w:r>
      <w:r>
        <w:t xml:space="preserve"> </w:t>
      </w:r>
      <w:r>
        <w:t xml:space="preserve">Target achieved at 112% through strategic partnerships with business chambers like the Indonesia-UK Chamber of Commerce. Our sales team conducted 87 executive briefings in Jakarta—resulting in a 34% conversion rate to full subscriptions.</w:t>
      </w:r>
    </w:p>
    <w:p>
      <w:pPr>
        <w:pStyle w:val="BodyText"/>
      </w:pPr>
      <w:r>
        <w:rPr>
          <w:iCs/>
          <w:i/>
        </w:rPr>
        <w:t xml:space="preserve">Digital Self-Serve (25%):</w:t>
      </w:r>
      <w:r>
        <w:t xml:space="preserve"> </w:t>
      </w:r>
      <w:r>
        <w:t xml:space="preserve">Optimized for Indonesian mobile usage patterns, with a 40% uplift after launching Bahasa Indonesia summaries of key articles (e.g., "Economic Outlook: ASEAN 2024" translated). This channel now attracts 38% of new Jakarta subscribers aged 25-39.</w:t>
      </w:r>
    </w:p>
    <w:p>
      <w:pPr>
        <w:pStyle w:val="BodyText"/>
      </w:pPr>
      <w:r>
        <w:rPr>
          <w:iCs/>
          <w:i/>
        </w:rPr>
        <w:t xml:space="preserve">Events &amp; Workshops (15%):</w:t>
      </w:r>
      <w:r>
        <w:t xml:space="preserve"> </w:t>
      </w:r>
      <w:r>
        <w:t xml:space="preserve">The "Jakarta Economic Forum" (May 2024) drew 1,200+ attendees, converting 17.3% of participants into subscribers—significantly higher than industry benchmarks.</w:t>
      </w:r>
    </w:p>
    <w:bookmarkEnd w:id="22"/>
    <w:bookmarkEnd w:id="23"/>
    <w:bookmarkStart w:id="24" w:name="X02e7777db065808ead815b97c948398ff0ad6a7"/>
    <w:p>
      <w:pPr>
        <w:pStyle w:val="Heading2"/>
      </w:pPr>
      <w:r>
        <w:t xml:space="preserve">IV. Competitive Landscape Analysis: Jakarta's Media Ecosystem</w:t>
      </w:r>
    </w:p>
    <w:p>
      <w:pPr>
        <w:pStyle w:val="FirstParagraph"/>
      </w:pPr>
      <w:r>
        <w:t xml:space="preserve">While local publications (e.g., Kontan) dominate general business news, The Economist maintains a commanding lead in high-value economic analysis for decision-makers. In Jakarta, our 78% premium subscription rate (vs. 55% for competitors) reflects strong perception of authority. A recent survey by Nielsen Indonesia confirmed: "The Economist is the #1 source for understanding global markets affecting Indonesia's economy" among Jakarta-based C-suite executives.</w:t>
      </w:r>
    </w:p>
    <w:p>
      <w:pPr>
        <w:pStyle w:val="BodyText"/>
      </w:pPr>
      <w:r>
        <w:t xml:space="preserve">Key competitive threats remain—particularly from digital analytics platforms—but The Economist's unique blend of print heritage and digital innovation (e.g., Jakarta-specific data visualizations) creates an unassailable value proposition. Our sales team now consistently emphasizes this differentiation during client pitches.</w:t>
      </w:r>
    </w:p>
    <w:bookmarkEnd w:id="24"/>
    <w:bookmarkStart w:id="25" w:name="v.-challenges-opportunities-in-jakarta"/>
    <w:p>
      <w:pPr>
        <w:pStyle w:val="Heading2"/>
      </w:pPr>
      <w:r>
        <w:t xml:space="preserve">V. Challenges &amp; Opportunities in Jakarta</w:t>
      </w:r>
    </w:p>
    <w:p>
      <w:pPr>
        <w:pStyle w:val="FirstParagraph"/>
      </w:pPr>
      <w:r>
        <w:rPr>
          <w:bCs/>
          <w:b/>
        </w:rPr>
        <w:t xml:space="preserve">Challenges:</w:t>
      </w:r>
    </w:p>
    <w:p>
      <w:pPr>
        <w:numPr>
          <w:ilvl w:val="0"/>
          <w:numId w:val="1002"/>
        </w:numPr>
        <w:pStyle w:val="Compact"/>
      </w:pPr>
      <w:r>
        <w:rPr>
          <w:iCs/>
          <w:i/>
        </w:rPr>
        <w:t xml:space="preserve">Pricing Sensitivity:</w:t>
      </w:r>
      <w:r>
        <w:t xml:space="preserve"> </w:t>
      </w:r>
      <w:r>
        <w:t xml:space="preserve">While enterprise clients accept premium pricing, individual subscriptions face resistance in a cost-conscious market. 29% of leads abandon purchase during checkout due to perceived high cost.</w:t>
      </w:r>
    </w:p>
    <w:p>
      <w:pPr>
        <w:numPr>
          <w:ilvl w:val="0"/>
          <w:numId w:val="1002"/>
        </w:numPr>
        <w:pStyle w:val="Compact"/>
      </w:pPr>
      <w:r>
        <w:rPr>
          <w:iCs/>
          <w:i/>
        </w:rPr>
        <w:t xml:space="preserve">Cultural Nuances:</w:t>
      </w:r>
      <w:r>
        <w:t xml:space="preserve"> </w:t>
      </w:r>
      <w:r>
        <w:t xml:space="preserve">Some Jakarta businesses prefer relationship-based sales (common in Indonesian corporate culture) over transactional digital approaches.</w:t>
      </w:r>
    </w:p>
    <w:p>
      <w:pPr>
        <w:pStyle w:val="FirstParagraph"/>
      </w:pPr>
      <w:r>
        <w:rPr>
          <w:bCs/>
          <w:b/>
        </w:rPr>
        <w:t xml:space="preserve">Opportunities:</w:t>
      </w:r>
    </w:p>
    <w:p>
      <w:pPr>
        <w:numPr>
          <w:ilvl w:val="0"/>
          <w:numId w:val="1003"/>
        </w:numPr>
        <w:pStyle w:val="Compact"/>
      </w:pPr>
      <w:r>
        <w:rPr>
          <w:iCs/>
          <w:i/>
        </w:rPr>
        <w:t xml:space="preserve">Digital Tier Expansion:</w:t>
      </w:r>
      <w:r>
        <w:t xml:space="preserve"> </w:t>
      </w:r>
      <w:r>
        <w:t xml:space="preserve">Launching a "Jakarta Economy" mobile bundle at $15/month (vs. $29 standard) to capture price-sensitive professionals.</w:t>
      </w:r>
    </w:p>
    <w:p>
      <w:pPr>
        <w:numPr>
          <w:ilvl w:val="0"/>
          <w:numId w:val="1003"/>
        </w:numPr>
        <w:pStyle w:val="Compact"/>
      </w:pPr>
      <w:r>
        <w:rPr>
          <w:iCs/>
          <w:i/>
        </w:rPr>
        <w:t xml:space="preserve">Collaboration with Local Institutions:</w:t>
      </w:r>
      <w:r>
        <w:t xml:space="preserve"> </w:t>
      </w:r>
      <w:r>
        <w:t xml:space="preserve">Partnering with UI (Universitas Indonesia) and ITB for student subscriptions—building long-term brand loyalty.</w:t>
      </w:r>
    </w:p>
    <w:bookmarkEnd w:id="25"/>
    <w:bookmarkStart w:id="26" w:name="X8376f53d2349bec2bd1467f89c0244f0098d07c"/>
    <w:p>
      <w:pPr>
        <w:pStyle w:val="Heading2"/>
      </w:pPr>
      <w:r>
        <w:t xml:space="preserve">VI. Strategic Recommendations for Jakarta Market Growth</w:t>
      </w:r>
    </w:p>
    <w:p>
      <w:pPr>
        <w:pStyle w:val="FirstParagraph"/>
      </w:pPr>
      <w:r>
        <w:t xml:space="preserve">Based on Q2 performance, we recommend the following actions to accelerate The Economist's sales growth in Jakarta:</w:t>
      </w:r>
    </w:p>
    <w:p>
      <w:pPr>
        <w:numPr>
          <w:ilvl w:val="0"/>
          <w:numId w:val="1004"/>
        </w:numPr>
        <w:pStyle w:val="Compact"/>
      </w:pPr>
      <w:r>
        <w:rPr>
          <w:bCs/>
          <w:b/>
        </w:rPr>
        <w:t xml:space="preserve">Localized Content Campaigns:</w:t>
      </w:r>
      <w:r>
        <w:t xml:space="preserve"> </w:t>
      </w:r>
      <w:r>
        <w:t xml:space="preserve">Produce quarterly "Jakarta Economic Pulse" reports (featuring Bank Indonesia data + global context) for targeted email campaigns. This will directly address local pain points and increase conversion rates by 25%.</w:t>
      </w:r>
    </w:p>
    <w:p>
      <w:pPr>
        <w:numPr>
          <w:ilvl w:val="0"/>
          <w:numId w:val="1004"/>
        </w:numPr>
        <w:pStyle w:val="Compact"/>
      </w:pPr>
      <w:r>
        <w:rPr>
          <w:iCs/>
          <w:i/>
        </w:rPr>
        <w:t xml:space="preserve">Hybrid Sales Training:</w:t>
      </w:r>
      <w:r>
        <w:t xml:space="preserve"> </w:t>
      </w:r>
      <w:r>
        <w:t xml:space="preserve">Equip the Jakarta sales team with cultural intelligence modules on Indonesian business etiquette to improve enterprise closing rates by 15%.</w:t>
      </w:r>
    </w:p>
    <w:p>
      <w:pPr>
        <w:numPr>
          <w:ilvl w:val="0"/>
          <w:numId w:val="1004"/>
        </w:numPr>
        <w:pStyle w:val="Compact"/>
      </w:pPr>
      <w:r>
        <w:rPr>
          <w:iCs/>
          <w:i/>
        </w:rPr>
        <w:t xml:space="preserve">Strategic Discounting:</w:t>
      </w:r>
      <w:r>
        <w:t xml:space="preserve"> </w:t>
      </w:r>
      <w:r>
        <w:t xml:space="preserve">Introduce "3+1" bundle for Jakarta corporate clients (3 full subscriptions + 1 free student subscription) to leverage networking at local universities and corporations.</w:t>
      </w:r>
    </w:p>
    <w:p>
      <w:pPr>
        <w:numPr>
          <w:ilvl w:val="0"/>
          <w:numId w:val="1004"/>
        </w:numPr>
        <w:pStyle w:val="Compact"/>
      </w:pPr>
      <w:r>
        <w:rPr>
          <w:iCs/>
          <w:i/>
        </w:rPr>
        <w:t xml:space="preserve">Digital Optimization:</w:t>
      </w:r>
      <w:r>
        <w:t xml:space="preserve"> </w:t>
      </w:r>
      <w:r>
        <w:t xml:space="preserve">Partner with Gojek/Grab for in-app promotions—reaching 95% of Jakarta professionals via their daily ride-hailing activity.</w:t>
      </w:r>
    </w:p>
    <w:bookmarkEnd w:id="26"/>
    <w:bookmarkStart w:id="27" w:name="vii.-conclusion"/>
    <w:p>
      <w:pPr>
        <w:pStyle w:val="Heading2"/>
      </w:pPr>
      <w:r>
        <w:t xml:space="preserve">VII. Conclusion</w:t>
      </w:r>
    </w:p>
    <w:p>
      <w:pPr>
        <w:pStyle w:val="FirstParagraph"/>
      </w:pPr>
      <w:r>
        <w:t xml:space="preserve">The Economist's sales performance in Indonesia Jakarta during Q2 2024 underscores the city's critical role as a growth engine for our global strategy. With Jakarta representing nearly 40% of our Indonesian revenue, these results validate our market-specific approach and position us to capture additional share in Southeast Asia’s most dynamic economic hub. The convergence of Indonesia's rapid digital adoption, Jakarta's business leadership density, and The Economist's unique value proposition has created a powerful synergy—one we will leverage through targeted investments in localization and cultural intelligence. By executing the recommended initiatives, our Jakarta sales team is poised to achieve 25%+ annual growth in 2024.</w:t>
      </w:r>
    </w:p>
    <w:p>
      <w:pPr>
        <w:pStyle w:val="BodyText"/>
      </w:pPr>
      <w:r>
        <w:rPr>
          <w:iCs/>
          <w:i/>
        </w:rPr>
        <w:t xml:space="preserve">Appendix: Key Q2 Jakarta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Q2 2024 Result</w:t>
            </w:r>
          </w:p>
        </w:tc>
        <w:tc>
          <w:tcPr/>
          <w:p>
            <w:pPr>
              <w:pStyle w:val="Compact"/>
              <w:jc w:val="left"/>
            </w:pPr>
            <w:r>
              <w:t xml:space="preserve">Q1 2024 Result</w:t>
            </w:r>
          </w:p>
        </w:tc>
        <w:tc>
          <w:tcPr/>
          <w:p>
            <w:pPr>
              <w:pStyle w:val="Compact"/>
              <w:jc w:val="left"/>
            </w:pPr>
            <w:r>
              <w:t xml:space="preserve">% Change (vs Q1)</w:t>
            </w:r>
          </w:p>
        </w:tc>
      </w:tr>
      <w:tr>
        <w:tc>
          <w:tcPr/>
          <w:p>
            <w:pPr>
              <w:pStyle w:val="Compact"/>
              <w:jc w:val="left"/>
            </w:pPr>
            <w:r>
              <w:t xml:space="preserve">Active Subscribers (Jakarta)</w:t>
            </w:r>
          </w:p>
        </w:tc>
        <w:tc>
          <w:tcPr/>
          <w:p>
            <w:pPr>
              <w:pStyle w:val="Compact"/>
              <w:jc w:val="left"/>
            </w:pPr>
            <w:r>
              <w:t xml:space="preserve">8,245</w:t>
            </w:r>
          </w:p>
        </w:tc>
        <w:tc>
          <w:tcPr/>
          <w:p>
            <w:pPr>
              <w:pStyle w:val="Compact"/>
              <w:jc w:val="left"/>
            </w:pPr>
            <w:r>
              <w:t xml:space="preserve">7,653</w:t>
            </w:r>
          </w:p>
        </w:tc>
        <w:tc>
          <w:tcPr/>
          <w:p>
            <w:pPr>
              <w:pStyle w:val="Compact"/>
              <w:jc w:val="left"/>
            </w:pPr>
            <w:r>
              <w:t xml:space="preserve">+7.7%</w:t>
            </w:r>
          </w:p>
        </w:tc>
      </w:tr>
      <w:tr>
        <w:tc>
          <w:tcPr/>
          <w:p>
            <w:pPr>
              <w:pStyle w:val="Compact"/>
              <w:jc w:val="left"/>
            </w:pPr>
            <w:r>
              <w:t xml:space="preserve">Enterprise Revenue Contribution</w:t>
            </w:r>
          </w:p>
        </w:tc>
        <w:tc>
          <w:tcPr/>
          <w:p>
            <w:pPr>
              <w:pStyle w:val="Compact"/>
              <w:jc w:val="left"/>
            </w:pPr>
            <w:r>
              <w:t xml:space="preserve">$1.8M (Annualized)</w:t>
            </w:r>
          </w:p>
        </w:tc>
        <w:tc>
          <w:tcPr/>
          <w:p>
            <w:pPr>
              <w:pStyle w:val="Compact"/>
              <w:jc w:val="left"/>
            </w:pPr>
            <w:r>
              <w:t xml:space="preserve">$1.4M (Annualized)</w:t>
            </w:r>
          </w:p>
        </w:tc>
        <w:tc>
          <w:tcPr/>
          <w:p>
            <w:pPr>
              <w:pStyle w:val="Compact"/>
              <w:jc w:val="left"/>
            </w:pPr>
            <w:r>
              <w:t xml:space="preserve">+28.6%</w:t>
            </w:r>
          </w:p>
        </w:tc>
      </w:tr>
      <w:tr>
        <w:tc>
          <w:tcPr/>
          <w:p>
            <w:pPr>
              <w:pStyle w:val="Compact"/>
              <w:jc w:val="left"/>
            </w:pPr>
            <w:r>
              <w:t xml:space="preserve">Digital Subscription Share</w:t>
            </w:r>
          </w:p>
        </w:tc>
        <w:tc>
          <w:tcPr/>
          <w:p>
            <w:pPr>
              <w:pStyle w:val="Compact"/>
              <w:jc w:val="left"/>
            </w:pPr>
            <w:r>
              <w:t xml:space="preserve">76%</w:t>
            </w:r>
          </w:p>
        </w:tc>
        <w:tc>
          <w:tcPr/>
          <w:p>
            <w:pPr>
              <w:pStyle w:val="Compact"/>
              <w:jc w:val="left"/>
            </w:pPr>
            <w:r>
              <w:t xml:space="preserve">68%</w:t>
            </w:r>
          </w:p>
        </w:tc>
        <w:tc>
          <w:tcPr/>
          <w:p>
            <w:pPr>
              <w:pStyle w:val="Compact"/>
              <w:jc w:val="left"/>
            </w:pPr>
            <w:r>
              <w:t xml:space="preserve">+8 pp</w:t>
            </w:r>
          </w:p>
        </w:tc>
      </w:tr>
    </w:tbl>
    <w:p>
      <w:pPr>
        <w:pStyle w:val="BodyText"/>
      </w:pPr>
      <w:r>
        <w:rPr>
          <w:bCs/>
          <w:b/>
        </w:rPr>
        <w:t xml:space="preserve">Total 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Indonesia Jakarta Market Performance</dc:title>
  <dc:creator/>
  <cp:keywords/>
  <dcterms:created xsi:type="dcterms:W3CDTF">2026-07-24T04:04:12Z</dcterms:created>
  <dcterms:modified xsi:type="dcterms:W3CDTF">2026-07-24T04:04:12Z</dcterms:modified>
</cp:coreProperties>
</file>

<file path=docProps/custom.xml><?xml version="1.0" encoding="utf-8"?>
<Properties xmlns="http://schemas.openxmlformats.org/officeDocument/2006/custom-properties" xmlns:vt="http://schemas.openxmlformats.org/officeDocument/2006/docPropsVTypes"/>
</file>