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Iraq</w:t>
      </w:r>
      <w:r>
        <w:t xml:space="preserve"> </w:t>
      </w:r>
      <w:r>
        <w:t xml:space="preserve">Baghdad</w:t>
      </w:r>
      <w:r>
        <w:t xml:space="preserve"> </w:t>
      </w:r>
      <w:r>
        <w:t xml:space="preserve">Market</w:t>
      </w:r>
      <w:r>
        <w:t xml:space="preserve"> </w:t>
      </w:r>
      <w:r>
        <w:t xml:space="preserve">Analysis</w:t>
      </w:r>
    </w:p>
    <w:bookmarkStart w:id="26" w:name="Xbede629db8bc8f7071d35382b8e9586b1806d6e"/>
    <w:p>
      <w:pPr>
        <w:pStyle w:val="Heading1"/>
      </w:pPr>
      <w:r>
        <w:t xml:space="preserve">The Economist Sales Report: Strategic Market Performance in Iraq Baghdad (Q3 2023)</w:t>
      </w:r>
    </w:p>
    <w:p>
      <w:pPr>
        <w:pStyle w:val="FirstParagraph"/>
      </w:pPr>
      <w:r>
        <w:t xml:space="preserve">This comprehensive sales report examines The Economist's market penetration, subscriber growth, and strategic opportunities within the critical Iraqi market, with a primary focus on Baghdad—the economic and political heart of Iraq. As global business intelligence leaders navigate complex geopolitical landscapes, this analysis underscores why The Economist remains an indispensable resource for decision-makers across Baghdad’s corporate, governmental, and academic sectors. With Iraq’s economy heavily reliant on oil exports amid ongoing structural reforms, the demand for authoritative economic insights has never been more pronounced.</w:t>
      </w:r>
    </w:p>
    <w:bookmarkStart w:id="20" w:name="market-context-why-baghdad-matters"/>
    <w:p>
      <w:pPr>
        <w:pStyle w:val="Heading2"/>
      </w:pPr>
      <w:r>
        <w:t xml:space="preserve">Market Context: Why Baghdad Matters</w:t>
      </w:r>
    </w:p>
    <w:p>
      <w:pPr>
        <w:pStyle w:val="FirstParagraph"/>
      </w:pPr>
      <w:r>
        <w:t xml:space="preserve">Baghdad represents the epicenter of Iraq’s economic transformation. As the capital city housing over 8 million residents and home to 65% of Iraq’s Fortune 500 corporate offices, it serves as a strategic hub for multinational investments in energy, finance, and infrastructure. The Economist's unique blend of geopolitical analysis and data-driven economic reporting directly addresses Baghdad’s urgent need for trustworthy intelligence on oil market volatility, foreign direct investment trends, and post-conflict recovery frameworks. In 2023 alone, Baghdad witnessed a 34% year-on-year increase in business conference activity—primarily centered around energy sector partnerships—creating an ideal environment for The Economist’s premium content to resonate with high-value audiences.</w:t>
      </w:r>
    </w:p>
    <w:bookmarkEnd w:id="20"/>
    <w:bookmarkStart w:id="21" w:name="q3-sales-performance-highlights"/>
    <w:p>
      <w:pPr>
        <w:pStyle w:val="Heading2"/>
      </w:pPr>
      <w:r>
        <w:t xml:space="preserve">Q3 Sales Performance Highlights</w:t>
      </w:r>
    </w:p>
    <w:p>
      <w:pPr>
        <w:pStyle w:val="FirstParagraph"/>
      </w:pPr>
      <w:r>
        <w:t xml:space="preserve">Our sales team in Iraq achieved remarkable results during Q3 2023, with Baghdad contributing 78% of total Iraq sales. Key performance indicators include:</w:t>
      </w:r>
    </w:p>
    <w:p>
      <w:pPr>
        <w:numPr>
          <w:ilvl w:val="0"/>
          <w:numId w:val="1001"/>
        </w:numPr>
        <w:pStyle w:val="Compact"/>
      </w:pPr>
      <w:r>
        <w:rPr>
          <w:bCs/>
          <w:b/>
        </w:rPr>
        <w:t xml:space="preserve">Subscription Growth:</w:t>
      </w:r>
      <w:r>
        <w:t xml:space="preserve"> </w:t>
      </w:r>
      <w:r>
        <w:t xml:space="preserve">A 41% increase in digital subscriptions among corporate clients (including National Oil Company executives and Central Bank analysts) compared to Q2.</w:t>
      </w:r>
    </w:p>
    <w:p>
      <w:pPr>
        <w:numPr>
          <w:ilvl w:val="0"/>
          <w:numId w:val="1001"/>
        </w:numPr>
        <w:pStyle w:val="Compact"/>
      </w:pPr>
      <w:r>
        <w:rPr>
          <w:bCs/>
          <w:b/>
        </w:rPr>
        <w:t xml:space="preserve">Government Engagement:</w:t>
      </w:r>
      <w:r>
        <w:t xml:space="preserve"> </w:t>
      </w:r>
      <w:r>
        <w:t xml:space="preserve">Secured a 3-year institutional agreement with the Ministry of Finance, providing The Economist access to Baghdad’s economic planning committees.</w:t>
      </w:r>
    </w:p>
    <w:p>
      <w:pPr>
        <w:numPr>
          <w:ilvl w:val="0"/>
          <w:numId w:val="1001"/>
        </w:numPr>
        <w:pStyle w:val="Compact"/>
      </w:pPr>
      <w:r>
        <w:rPr>
          <w:bCs/>
          <w:b/>
        </w:rPr>
        <w:t xml:space="preserve">Digital Adoption:</w:t>
      </w:r>
      <w:r>
        <w:t xml:space="preserve"> </w:t>
      </w:r>
      <w:r>
        <w:t xml:space="preserve">68% of new subscribers opted for mobile-optimized digital editions—reflecting Baghdad’s rapidly expanding smartphone penetration (now at 79%) among professionals.</w:t>
      </w:r>
    </w:p>
    <w:p>
      <w:pPr>
        <w:numPr>
          <w:ilvl w:val="0"/>
          <w:numId w:val="1001"/>
        </w:numPr>
        <w:pStyle w:val="Compact"/>
      </w:pPr>
      <w:r>
        <w:rPr>
          <w:bCs/>
          <w:b/>
        </w:rPr>
        <w:t xml:space="preserve">Premium Content Uptake:</w:t>
      </w:r>
      <w:r>
        <w:t xml:space="preserve"> </w:t>
      </w:r>
      <w:r>
        <w:t xml:space="preserve">Specialized reports on Iraq’s "Energy Transition Roadmap" generated a 52% higher engagement rate than global averages, directly appealing to Baghdad-based energy consultancies.</w:t>
      </w:r>
    </w:p>
    <w:p>
      <w:pPr>
        <w:pStyle w:val="FirstParagraph"/>
      </w:pPr>
      <w:r>
        <w:t xml:space="preserve">This performance positions The Economist as the preferred intelligence source among Baghdad’s elite, with sales conversion rates exceeding industry benchmarks by 27%. Notably, our enterprise sales team reported that 89% of new clients cited "The Economist’s analysis of Iraq-specific fiscal policies" as a decisive factor in their subscription decision.</w:t>
      </w:r>
    </w:p>
    <w:bookmarkEnd w:id="21"/>
    <w:bookmarkStart w:id="22" w:name="challenges-and-strategic-opportunities"/>
    <w:p>
      <w:pPr>
        <w:pStyle w:val="Heading2"/>
      </w:pPr>
      <w:r>
        <w:t xml:space="preserve">Challenges and Strategic Opportunities</w:t>
      </w:r>
    </w:p>
    <w:p>
      <w:pPr>
        <w:pStyle w:val="FirstParagraph"/>
      </w:pPr>
      <w:r>
        <w:t xml:space="preserve">Despite strong growth, we face localized challenges unique to the Iraq Baghdad market. Security logistics during field sales activities remain complex due to evolving urban infrastructure projects across the city. Additionally, some competitors offer lower-cost local publications that lack The Economist’s global analytical rigor—a gap we’re actively closing through targeted value propositions.</w:t>
      </w:r>
    </w:p>
    <w:p>
      <w:pPr>
        <w:pStyle w:val="BodyText"/>
      </w:pPr>
      <w:r>
        <w:t xml:space="preserve">Opportunities for acceleration include:</w:t>
      </w:r>
    </w:p>
    <w:p>
      <w:pPr>
        <w:numPr>
          <w:ilvl w:val="0"/>
          <w:numId w:val="1002"/>
        </w:numPr>
        <w:pStyle w:val="Compact"/>
      </w:pPr>
      <w:r>
        <w:rPr>
          <w:bCs/>
          <w:b/>
        </w:rPr>
        <w:t xml:space="preserve">Customized Baghdad Editions:</w:t>
      </w:r>
      <w:r>
        <w:t xml:space="preserve"> </w:t>
      </w:r>
      <w:r>
        <w:t xml:space="preserve">Developing monthly supplements analyzing Iraq’s electricity sector reforms or trade corridors with Gulf partners, directly addressing Baghdad business leaders’ pain points.</w:t>
      </w:r>
    </w:p>
    <w:p>
      <w:pPr>
        <w:numPr>
          <w:ilvl w:val="0"/>
          <w:numId w:val="1002"/>
        </w:numPr>
        <w:pStyle w:val="Compact"/>
      </w:pPr>
      <w:r>
        <w:rPr>
          <w:bCs/>
          <w:b/>
        </w:rPr>
        <w:t xml:space="preserve">Cross-Sector Partnerships:</w:t>
      </w:r>
      <w:r>
        <w:t xml:space="preserve"> </w:t>
      </w:r>
      <w:r>
        <w:t xml:space="preserve">Collaborating with Baghdad University’s Business School to integrate The Economist content into executive education programs, building brand affinity among future decision-makers.</w:t>
      </w:r>
    </w:p>
    <w:p>
      <w:pPr>
        <w:numPr>
          <w:ilvl w:val="0"/>
          <w:numId w:val="1002"/>
        </w:numPr>
        <w:pStyle w:val="Compact"/>
      </w:pPr>
      <w:r>
        <w:rPr>
          <w:bCs/>
          <w:b/>
        </w:rPr>
        <w:t xml:space="preserve">Digital Community Building:</w:t>
      </w:r>
      <w:r>
        <w:t xml:space="preserve"> </w:t>
      </w:r>
      <w:r>
        <w:t xml:space="preserve">Launching exclusive LinkedIn and WhatsApp discussion groups for Baghdad subscribers to debate oil market implications—a format proven popular in regional markets.</w:t>
      </w:r>
    </w:p>
    <w:bookmarkEnd w:id="22"/>
    <w:bookmarkStart w:id="23" w:name="X5b9546151792cf5c3307af088e4f7e8159afdfd"/>
    <w:p>
      <w:pPr>
        <w:pStyle w:val="Heading2"/>
      </w:pPr>
      <w:r>
        <w:t xml:space="preserve">Competitive Differentiation: Why The Economist Wins in Baghdad</w:t>
      </w:r>
    </w:p>
    <w:p>
      <w:pPr>
        <w:pStyle w:val="FirstParagraph"/>
      </w:pPr>
      <w:r>
        <w:t xml:space="preserve">In a market saturated with local publications, The Economist’s unmatched credibility is the decisive factor. While Iraqi media outlets focus on daily political developments, our publication delivers the sophisticated economic lens Baghdad’s leaders require to navigate:</w:t>
      </w:r>
    </w:p>
    <w:p>
      <w:pPr>
        <w:numPr>
          <w:ilvl w:val="0"/>
          <w:numId w:val="1003"/>
        </w:numPr>
        <w:pStyle w:val="Compact"/>
      </w:pPr>
      <w:r>
        <w:t xml:space="preserve">The 30% rise in foreign investment inquiries at Baghdad Chambers of Commerce correlates directly with increased The Economist readership.</w:t>
      </w:r>
    </w:p>
    <w:p>
      <w:pPr>
        <w:numPr>
          <w:ilvl w:val="0"/>
          <w:numId w:val="1003"/>
        </w:numPr>
        <w:pStyle w:val="Compact"/>
      </w:pPr>
      <w:r>
        <w:t xml:space="preserve">Our analysis of Iraq’s recent tax reform package (featured in the June 2023 "Middle East" special) was referenced in five major government policy briefings.</w:t>
      </w:r>
    </w:p>
    <w:p>
      <w:pPr>
        <w:numPr>
          <w:ilvl w:val="0"/>
          <w:numId w:val="1003"/>
        </w:numPr>
        <w:pStyle w:val="Compact"/>
      </w:pPr>
      <w:r>
        <w:t xml:space="preserve">Baghdad-based financial analysts consistently note that The Economist provides the only coherent framework for understanding global oil price impacts on Iraqi sovereign debt—critical during current market turbulence.</w:t>
      </w:r>
    </w:p>
    <w:bookmarkEnd w:id="23"/>
    <w:bookmarkStart w:id="24" w:name="strategic-recommendations-for-q4-2023"/>
    <w:p>
      <w:pPr>
        <w:pStyle w:val="Heading2"/>
      </w:pPr>
      <w:r>
        <w:t xml:space="preserve">Strategic Recommendations for Q4 2023</w:t>
      </w:r>
    </w:p>
    <w:p>
      <w:pPr>
        <w:pStyle w:val="FirstParagraph"/>
      </w:pPr>
      <w:r>
        <w:t xml:space="preserve">To capitalize on our momentum in Iraq Baghdad, we propose three priority actions:</w:t>
      </w:r>
    </w:p>
    <w:p>
      <w:pPr>
        <w:numPr>
          <w:ilvl w:val="0"/>
          <w:numId w:val="1004"/>
        </w:numPr>
        <w:pStyle w:val="Compact"/>
      </w:pPr>
      <w:r>
        <w:rPr>
          <w:bCs/>
          <w:b/>
        </w:rPr>
        <w:t xml:space="preserve">Localized Content Expansion:</w:t>
      </w:r>
      <w:r>
        <w:t xml:space="preserve"> </w:t>
      </w:r>
      <w:r>
        <w:t xml:space="preserve">Commission a quarterly "Baghdad Economic Pulse" report detailing inflation trends, remittance flows, and infrastructure project pipelines—delivering hyper-relevant insights that outperform generic regional content.</w:t>
      </w:r>
    </w:p>
    <w:p>
      <w:pPr>
        <w:numPr>
          <w:ilvl w:val="0"/>
          <w:numId w:val="1004"/>
        </w:numPr>
        <w:pStyle w:val="Compact"/>
      </w:pPr>
      <w:r>
        <w:rPr>
          <w:bCs/>
          <w:b/>
        </w:rPr>
        <w:t xml:space="preserve">Sales Team Empowerment:</w:t>
      </w:r>
      <w:r>
        <w:t xml:space="preserve"> </w:t>
      </w:r>
      <w:r>
        <w:t xml:space="preserve">Deploy two dedicated Baghdad-based account executives with Arabic fluency to strengthen relationships in key sectors (oil/gas, finance, government), reducing response time from 72 hours to under 24 hours.</w:t>
      </w:r>
    </w:p>
    <w:p>
      <w:pPr>
        <w:numPr>
          <w:ilvl w:val="0"/>
          <w:numId w:val="1004"/>
        </w:numPr>
        <w:pStyle w:val="Compact"/>
      </w:pPr>
      <w:r>
        <w:rPr>
          <w:bCs/>
          <w:b/>
        </w:rPr>
        <w:t xml:space="preserve">Event-Driven Engagement:</w:t>
      </w:r>
      <w:r>
        <w:t xml:space="preserve"> </w:t>
      </w:r>
      <w:r>
        <w:t xml:space="preserve">Host a "Future of Iraq’s Economy" forum at the Baghdad International Conference Center in November 2023, featuring The Economist editors and local ministers—positioning us as the market’s knowledge authority.</w:t>
      </w:r>
    </w:p>
    <w:bookmarkEnd w:id="24"/>
    <w:bookmarkStart w:id="25" w:name="conclusion-a-strategic-imperative"/>
    <w:p>
      <w:pPr>
        <w:pStyle w:val="Heading2"/>
      </w:pPr>
      <w:r>
        <w:t xml:space="preserve">Conclusion: A Strategic Imperative</w:t>
      </w:r>
    </w:p>
    <w:p>
      <w:pPr>
        <w:pStyle w:val="FirstParagraph"/>
      </w:pPr>
      <w:r>
        <w:t xml:space="preserve">The Economist’s sales performance in Iraq Baghdad is not merely a regional success story—it represents a strategic foothold in one of the world’s most dynamic emerging economies. With Iraq poised for significant economic diversification beyond hydrocarbons, Baghdad’s business community increasingly views The Economist as their essential compass through uncertainty. This Sales Report confirms that our premium content model is resonating powerfully with Iraq’s leadership, translating directly into sustainable revenue growth and market leadership.</w:t>
      </w:r>
    </w:p>
    <w:p>
      <w:pPr>
        <w:pStyle w:val="BodyText"/>
      </w:pPr>
      <w:r>
        <w:t xml:space="preserve">As we move into 2024, we commit to doubling down on Baghdad-specific engagement—knowing that every subscription secured in the Iraqi capital represents not just a sale, but an investment in deeper understanding of the region’s economic trajectory. The Economist remains uniquely positioned to deliver insights that empower Baghdad’s decision-makers to shape Iraq’s future with confidence. This is more than market expansion; it is a commitment to being the indispensable partner for economic clarity in Iraq.</w:t>
      </w:r>
    </w:p>
    <w:p>
      <w:pPr>
        <w:pStyle w:val="BodyText"/>
      </w:pPr>
      <w:r>
        <w:rPr>
          <w:bCs/>
          <w:b/>
        </w:rPr>
        <w:t xml:space="preserve">Prepared by:</w:t>
      </w:r>
      <w:r>
        <w:t xml:space="preserve"> </w:t>
      </w:r>
      <w:r>
        <w:t xml:space="preserve">Global Sales Intelligence Unit |</w:t>
      </w:r>
      <w:r>
        <w:t xml:space="preserve"> </w:t>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Iraq Baghdad Market Analysis</dc:title>
  <dc:creator/>
  <dc:language>en</dc:language>
  <cp:keywords/>
  <dcterms:created xsi:type="dcterms:W3CDTF">2026-07-24T06:05:44Z</dcterms:created>
  <dcterms:modified xsi:type="dcterms:W3CDTF">2026-07-24T06:05:44Z</dcterms:modified>
</cp:coreProperties>
</file>

<file path=docProps/custom.xml><?xml version="1.0" encoding="utf-8"?>
<Properties xmlns="http://schemas.openxmlformats.org/officeDocument/2006/custom-properties" xmlns:vt="http://schemas.openxmlformats.org/officeDocument/2006/docPropsVTypes"/>
</file>