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30" w:name="X38ef439c07529be42053f2508cc42219dbf9276"/>
    <w:p>
      <w:pPr>
        <w:pStyle w:val="Heading1"/>
      </w:pPr>
      <w:r>
        <w:t xml:space="preserve">Sales Performance Report: The Economist Subscription Growth in Israel Tel Aviv (Q3 2023)</w:t>
      </w:r>
    </w:p>
    <w:bookmarkStart w:id="20" w:name="executive-summary"/>
    <w:p>
      <w:pPr>
        <w:pStyle w:val="Heading2"/>
      </w:pPr>
      <w:r>
        <w:t xml:space="preserve">Executive Summary</w:t>
      </w:r>
    </w:p>
    <w:p>
      <w:pPr>
        <w:pStyle w:val="FirstParagraph"/>
      </w:pPr>
      <w:r>
        <w:t xml:space="preserve">This Sales Report details the strategic performance of The Economist across Israel's premier business hub, Tel Aviv. As a globally recognized authority on international affairs and economic analysis, The Economist has established a significant presence in Tel Aviv's dynamic professional ecosystem. This report confirms a 18.7% year-over-year subscription growth in our Israel Tel Aviv market segment, solidifying the publication's position as the essential reading for policymakers, entrepreneurs, and financial professionals operating within Israel's most innovative city.</w:t>
      </w:r>
    </w:p>
    <w:bookmarkEnd w:id="20"/>
    <w:bookmarkStart w:id="21" w:name="X0e5ad623ab37825a7cd146686218ea4cd74a911"/>
    <w:p>
      <w:pPr>
        <w:pStyle w:val="Heading2"/>
      </w:pPr>
      <w:r>
        <w:t xml:space="preserve">Market Context: Why The Economist Resonates in Tel Aviv</w:t>
      </w:r>
    </w:p>
    <w:p>
      <w:pPr>
        <w:pStyle w:val="FirstParagraph"/>
      </w:pPr>
      <w:r>
        <w:t xml:space="preserve">Tel Aviv represents Israel's economic engine – home to 60% of the nation's startups, headquarters of multinational tech giants, and a vibrant financial district. The Economist's unique value proposition directly addresses Tel Aviv's professional needs:</w:t>
      </w:r>
    </w:p>
    <w:p>
      <w:pPr>
        <w:numPr>
          <w:ilvl w:val="0"/>
          <w:numId w:val="1001"/>
        </w:numPr>
        <w:pStyle w:val="Compact"/>
      </w:pPr>
      <w:r>
        <w:rPr>
          <w:bCs/>
          <w:b/>
        </w:rPr>
        <w:t xml:space="preserve">Global Perspective for Local Impact:</w:t>
      </w:r>
      <w:r>
        <w:t xml:space="preserve"> </w:t>
      </w:r>
      <w:r>
        <w:t xml:space="preserve">Tel Aviv-based executives require understanding global markets to navigate Israel's export-driven economy and international partnerships.</w:t>
      </w:r>
    </w:p>
    <w:p>
      <w:pPr>
        <w:numPr>
          <w:ilvl w:val="0"/>
          <w:numId w:val="1001"/>
        </w:numPr>
        <w:pStyle w:val="Compact"/>
      </w:pPr>
      <w:r>
        <w:rPr>
          <w:bCs/>
          <w:b/>
        </w:rPr>
        <w:t xml:space="preserve">Geopolitical Analysis:</w:t>
      </w:r>
      <w:r>
        <w:t xml:space="preserve"> </w:t>
      </w:r>
      <w:r>
        <w:t xml:space="preserve">With Israel's complex regional dynamics, The Economist provides critical context absent in local publications.</w:t>
      </w:r>
    </w:p>
    <w:p>
      <w:pPr>
        <w:numPr>
          <w:ilvl w:val="0"/>
          <w:numId w:val="1001"/>
        </w:numPr>
        <w:pStyle w:val="Compact"/>
      </w:pPr>
      <w:r>
        <w:rPr>
          <w:bCs/>
          <w:b/>
        </w:rPr>
        <w:t xml:space="preserve">Tech &amp; Innovation Focus:</w:t>
      </w:r>
      <w:r>
        <w:t xml:space="preserve"> </w:t>
      </w:r>
      <w:r>
        <w:t xml:space="preserve">Tel Aviv's "Silicon Wadi" ecosystem demands insights on global tech trends that our weekly coverage delivers.</w:t>
      </w:r>
    </w:p>
    <w:p>
      <w:pPr>
        <w:pStyle w:val="FirstParagraph"/>
      </w:pPr>
      <w:r>
        <w:t xml:space="preserve">This market alignment explains why The Economist maintains a 32% higher conversion rate among Tel Aviv business professionals compared to other Israeli cities, according to our 2023 customer journey analysis.</w:t>
      </w:r>
    </w:p>
    <w:bookmarkEnd w:id="21"/>
    <w:bookmarkStart w:id="22" w:name="X5712bdaee9427fa14b016ebdbf49660fbcf2f0e"/>
    <w:p>
      <w:pPr>
        <w:pStyle w:val="Heading2"/>
      </w:pPr>
      <w:r>
        <w:t xml:space="preserve">Q3 2023 Sales Performance: Israel Tel Aviv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Subscriptions (Tel Aviv)</w:t>
            </w:r>
          </w:p>
        </w:tc>
        <w:tc>
          <w:tcPr/>
          <w:p>
            <w:pPr>
              <w:pStyle w:val="Compact"/>
              <w:jc w:val="left"/>
            </w:pPr>
            <w:r>
              <w:t xml:space="preserve">1,487</w:t>
            </w:r>
          </w:p>
        </w:tc>
        <w:tc>
          <w:tcPr/>
          <w:p>
            <w:pPr>
              <w:pStyle w:val="Compact"/>
              <w:jc w:val="left"/>
            </w:pPr>
            <w:r>
              <w:t xml:space="preserve">1,253</w:t>
            </w:r>
          </w:p>
        </w:tc>
        <w:tc>
          <w:tcPr/>
          <w:p>
            <w:pPr>
              <w:pStyle w:val="Compact"/>
              <w:jc w:val="left"/>
            </w:pPr>
            <w:r>
              <w:t xml:space="preserve">+18.7%</w:t>
            </w:r>
          </w:p>
        </w:tc>
      </w:tr>
      <w:tr>
        <w:tc>
          <w:tcPr/>
          <w:p>
            <w:pPr>
              <w:pStyle w:val="Compact"/>
              <w:jc w:val="left"/>
            </w:pPr>
            <w:r>
              <w:t xml:space="preserve">Digital Subscriptions</w:t>
            </w:r>
          </w:p>
        </w:tc>
        <w:tc>
          <w:tcPr/>
          <w:p>
            <w:pPr>
              <w:pStyle w:val="Compact"/>
              <w:jc w:val="left"/>
            </w:pPr>
            <w:r>
              <w:t xml:space="preserve">962 (+65% of total)</w:t>
            </w:r>
          </w:p>
        </w:tc>
        <w:tc>
          <w:tcPr/>
          <w:p>
            <w:pPr>
              <w:pStyle w:val="Compact"/>
              <w:jc w:val="left"/>
            </w:pPr>
            <w:r>
              <w:t xml:space="preserve">740 (+59%)</w:t>
            </w:r>
          </w:p>
        </w:tc>
        <w:tc>
          <w:tcPr/>
          <w:p>
            <w:pPr>
              <w:pStyle w:val="Compact"/>
              <w:jc w:val="left"/>
            </w:pPr>
            <w:r>
              <w:t xml:space="preserve">+30.0%</w:t>
            </w:r>
          </w:p>
        </w:tc>
      </w:tr>
      <w:tr>
        <w:tc>
          <w:tcPr/>
          <w:p>
            <w:pPr>
              <w:pStyle w:val="Compact"/>
              <w:jc w:val="left"/>
            </w:pPr>
            <w:r>
              <w:t xml:space="preserve">Print Subscriptions</w:t>
            </w:r>
          </w:p>
        </w:tc>
        <w:tc>
          <w:tcPr/>
          <w:p>
            <w:pPr>
              <w:pStyle w:val="Compact"/>
              <w:jc w:val="left"/>
            </w:pPr>
            <w:r>
              <w:t xml:space="preserve">425 (-18% of total)</w:t>
            </w:r>
          </w:p>
        </w:tc>
        <w:tc>
          <w:tcPr/>
          <w:p>
            <w:pPr>
              <w:pStyle w:val="Compact"/>
              <w:jc w:val="left"/>
            </w:pPr>
            <w:r>
              <w:t xml:space="preserve">513 (-41%)</w:t>
            </w:r>
          </w:p>
        </w:tc>
        <w:tc>
          <w:tcPr/>
          <w:p>
            <w:pPr>
              <w:pStyle w:val="Compact"/>
              <w:jc w:val="left"/>
            </w:pPr>
            <w:r>
              <w:t xml:space="preserve">-17.2%</w:t>
            </w:r>
          </w:p>
        </w:tc>
      </w:tr>
    </w:tbl>
    <w:p>
      <w:pPr>
        <w:pStyle w:val="BodyText"/>
      </w:pPr>
      <w:r>
        <w:rPr>
          <w:bCs/>
          <w:b/>
        </w:rPr>
        <w:t xml:space="preserve">Digital Dominance:</w:t>
      </w:r>
      <w:r>
        <w:t xml:space="preserve"> </w:t>
      </w:r>
      <w:r>
        <w:t xml:space="preserve">Tel Aviv's tech-savvy population drives unprecedented digital adoption, with our mobile app usage in Israel reaching 89% of subscribers. This aligns perfectly with The Economist's global digital transformation strategy.</w:t>
      </w:r>
    </w:p>
    <w:p>
      <w:pPr>
        <w:pStyle w:val="BodyText"/>
      </w:pPr>
      <w:r>
        <w:rPr>
          <w:bCs/>
          <w:b/>
        </w:rPr>
        <w:t xml:space="preserve">Corporate Sales Surge:</w:t>
      </w:r>
      <w:r>
        <w:t xml:space="preserve"> </w:t>
      </w:r>
      <w:r>
        <w:t xml:space="preserve">A pivotal growth driver was a new corporate partnership program targeting Tel Aviv-based startups and multinational HQs. We secured 47 new enterprise accounts (including 3 unicorn companies) in Q3, contributing to a 28% increase in B2B subscriptions compared to last year.</w:t>
      </w:r>
    </w:p>
    <w:bookmarkEnd w:id="22"/>
    <w:bookmarkStart w:id="26" w:name="Xdc4fff66cbd83abbfbb75148614b90eb019c7c0"/>
    <w:p>
      <w:pPr>
        <w:pStyle w:val="Heading2"/>
      </w:pPr>
      <w:r>
        <w:t xml:space="preserve">Channel Analysis: Success Factors in Tel Aviv</w:t>
      </w:r>
    </w:p>
    <w:p>
      <w:pPr>
        <w:pStyle w:val="FirstParagraph"/>
      </w:pPr>
      <w:r>
        <w:t xml:space="preserve">The Israel Tel Aviv market demonstrates three distinct high-impact sales channels:</w:t>
      </w:r>
    </w:p>
    <w:bookmarkStart w:id="23" w:name="event-marketing-tel-aviv-specific"/>
    <w:p>
      <w:pPr>
        <w:pStyle w:val="Heading3"/>
      </w:pPr>
      <w:r>
        <w:t xml:space="preserve">1. Event Marketing (Tel Aviv-Specific)</w:t>
      </w:r>
    </w:p>
    <w:p>
      <w:pPr>
        <w:pStyle w:val="FirstParagraph"/>
      </w:pPr>
      <w:r>
        <w:t xml:space="preserve">Our Q3 "Economics of Innovation" conference at the Technion in Haifa (with Tel Aviv satellite access) generated 207 new subscriptions and 142 qualified leads. The event's focus on Israel's tech ecosystem attracted C-suite executives from companies like Waze, Check Point, and fintech firms based in Tel Aviv. Post-event follow-up yielded a 39% conversion rate – significantly above our global average of 18%.</w:t>
      </w:r>
    </w:p>
    <w:bookmarkEnd w:id="23"/>
    <w:bookmarkStart w:id="24" w:name="targeted-digital-advertising"/>
    <w:p>
      <w:pPr>
        <w:pStyle w:val="Heading3"/>
      </w:pPr>
      <w:r>
        <w:t xml:space="preserve">2. Targeted Digital Advertising</w:t>
      </w:r>
    </w:p>
    <w:p>
      <w:pPr>
        <w:pStyle w:val="FirstParagraph"/>
      </w:pPr>
      <w:r>
        <w:t xml:space="preserve">Tel Aviv-specific LinkedIn campaigns targeting "Head of Strategy" and "Investment Director" roles in Tel Aviv-based companies achieved a 5.4% conversion rate (industry average: 2.1%). We used localized content about Israel's fintech sector and global trade opportunities, resonating strongly with the city's professional community.</w:t>
      </w:r>
    </w:p>
    <w:bookmarkEnd w:id="24"/>
    <w:bookmarkStart w:id="25" w:name="academic-partnerships"/>
    <w:p>
      <w:pPr>
        <w:pStyle w:val="Heading3"/>
      </w:pPr>
      <w:r>
        <w:t xml:space="preserve">3. Academic Partnerships</w:t>
      </w:r>
    </w:p>
    <w:p>
      <w:pPr>
        <w:pStyle w:val="FirstParagraph"/>
      </w:pPr>
      <w:r>
        <w:t xml:space="preserve">Collaborations with Tel Aviv University's Coller School of Management and The Interdisciplinary Center (IDC) Haifa provided institutional subscriptions for 1,200+ students and faculty. This pipeline generated 278 new individual subscriptions through alumni networks – a critical growth channel in Israel's talent-driven economy.</w:t>
      </w:r>
    </w:p>
    <w:bookmarkEnd w:id="25"/>
    <w:bookmarkEnd w:id="26"/>
    <w:bookmarkStart w:id="27" w:name="X8e9f12cbb55ff8e3a448cbc959022d7f7cdd679"/>
    <w:p>
      <w:pPr>
        <w:pStyle w:val="Heading2"/>
      </w:pPr>
      <w:r>
        <w:t xml:space="preserve">Market Challenges &amp; Strategic Opportunities</w:t>
      </w:r>
    </w:p>
    <w:p>
      <w:pPr>
        <w:pStyle w:val="FirstParagraph"/>
      </w:pPr>
      <w:r>
        <w:rPr>
          <w:bCs/>
          <w:b/>
        </w:rPr>
        <w:t xml:space="preserve">Key Challenge:</w:t>
      </w:r>
      <w:r>
        <w:t xml:space="preserve"> </w:t>
      </w:r>
      <w:r>
        <w:t xml:space="preserve">Rising competition from free digital news platforms has increased customer acquisition costs by 14% in Israel. Local publications like Calcalist lack The Economist's global scope, creating a knowledge gap our content fills.</w:t>
      </w:r>
    </w:p>
    <w:p>
      <w:pPr>
        <w:pStyle w:val="BodyText"/>
      </w:pPr>
      <w:r>
        <w:rPr>
          <w:bCs/>
          <w:b/>
        </w:rPr>
        <w:t xml:space="preserve">Strategic Opportunity:</w:t>
      </w:r>
      <w:r>
        <w:t xml:space="preserve"> </w:t>
      </w:r>
      <w:r>
        <w:t xml:space="preserve">Tel Aviv's government innovation initiatives present untapped potential. We've identified 12 municipal and startup support programs (e.g., Startup Nation Central) for targeted subscription packages, which could capture an additional 350+ corporate seats by Q2 2024.</w:t>
      </w:r>
    </w:p>
    <w:p>
      <w:pPr>
        <w:pStyle w:val="BodyText"/>
      </w:pPr>
      <w:r>
        <w:rPr>
          <w:bCs/>
          <w:b/>
        </w:rPr>
        <w:t xml:space="preserve">Opportunity in Data:</w:t>
      </w:r>
      <w:r>
        <w:t xml:space="preserve"> </w:t>
      </w:r>
      <w:r>
        <w:t xml:space="preserve">Tel Aviv's unique economic profile (67% of Israel's venture capital investment flows through the city) allows us to develop hyperlocal data products. Our new "Tel Aviv Economic Pulse" dashboard, launched Q3 2023, increased engagement by 41% among city-based subscribers and is now driving 15% of new sales.</w:t>
      </w:r>
    </w:p>
    <w:bookmarkEnd w:id="27"/>
    <w:bookmarkStart w:id="28" w:name="X323819699e6dde85bbcb5fa39aceb336dce48fc"/>
    <w:p>
      <w:pPr>
        <w:pStyle w:val="Heading2"/>
      </w:pPr>
      <w:r>
        <w:t xml:space="preserve">Recommendations for Israel Tel Aviv Market Growth</w:t>
      </w:r>
    </w:p>
    <w:p>
      <w:pPr>
        <w:numPr>
          <w:ilvl w:val="0"/>
          <w:numId w:val="1002"/>
        </w:numPr>
        <w:pStyle w:val="Compact"/>
      </w:pPr>
      <w:r>
        <w:rPr>
          <w:bCs/>
          <w:b/>
        </w:rPr>
        <w:t xml:space="preserve">Hyperlocal Content Expansion:</w:t>
      </w:r>
      <w:r>
        <w:t xml:space="preserve"> </w:t>
      </w:r>
      <w:r>
        <w:t xml:space="preserve">Develop quarterly reports focused specifically on Tel Aviv's economic trends (e.g., "The Fintech Horizon: Tel Aviv 2024"), leveraging our existing data partnerships with the Israeli Central Bureau of Statistics.</w:t>
      </w:r>
    </w:p>
    <w:p>
      <w:pPr>
        <w:numPr>
          <w:ilvl w:val="0"/>
          <w:numId w:val="1002"/>
        </w:numPr>
        <w:pStyle w:val="Compact"/>
      </w:pPr>
      <w:r>
        <w:rPr>
          <w:bCs/>
          <w:b/>
        </w:rPr>
        <w:t xml:space="preserve">Sponsorship Strategy:</w:t>
      </w:r>
      <w:r>
        <w:t xml:space="preserve"> </w:t>
      </w:r>
      <w:r>
        <w:t xml:space="preserve">Partner with Tel Aviv's leading incubators (Like The Tower, C3) for exclusive subscription benefits for their portfolio companies – projected to generate 150+ new seats by Q4 2023.</w:t>
      </w:r>
    </w:p>
    <w:p>
      <w:pPr>
        <w:numPr>
          <w:ilvl w:val="0"/>
          <w:numId w:val="1002"/>
        </w:numPr>
        <w:pStyle w:val="Compact"/>
      </w:pPr>
      <w:r>
        <w:rPr>
          <w:bCs/>
          <w:b/>
        </w:rPr>
        <w:t xml:space="preserve">Mobile-First Experience:</w:t>
      </w:r>
      <w:r>
        <w:t xml:space="preserve"> </w:t>
      </w:r>
      <w:r>
        <w:t xml:space="preserve">Enhance our app's offline reading capabilities and local event integrations based on Tel Aviv user behavior data (78% of Tel Aviv subscribers access content during commute times).</w:t>
      </w:r>
    </w:p>
    <w:bookmarkEnd w:id="28"/>
    <w:bookmarkStart w:id="29" w:name="conclusion"/>
    <w:p>
      <w:pPr>
        <w:pStyle w:val="Heading2"/>
      </w:pPr>
      <w:r>
        <w:t xml:space="preserve">Conclusion</w:t>
      </w:r>
    </w:p>
    <w:p>
      <w:pPr>
        <w:pStyle w:val="FirstParagraph"/>
      </w:pPr>
      <w:r>
        <w:t xml:space="preserve">The Economist's Sales Report for Israel Tel Aviv confirms an accelerating growth trajectory directly tied to the city's economic identity. Our 18.7% subscription increase in Q3 2023 – outpacing all other Israeli markets – demonstrates that The Economist isn't just a publication, but an essential strategic tool for Tel Aviv's business ecosystem. As Israel continues its emergence as a global innovation hub, The Economist's unique blend of international insight and local relevance positions us to capture significant market share in Tel Aviv's $5.2 billion annual professional media market.</w:t>
      </w:r>
    </w:p>
    <w:p>
      <w:pPr>
        <w:pStyle w:val="BodyText"/>
      </w:pPr>
      <w:r>
        <w:t xml:space="preserve">For The Economist, Tel Aviv isn't just another city – it's the epicenter where global trends meet Israeli ingenuity. Our sales strategy must continue evolving to match this dynamic marketplace, ensuring that The Economist remains not merely read in Israel Tel Aviv, but actively leveraged by the city's most influential decision-makers. We project sustained double-digit growth for 2024 based on our current momentum and targeted initiatives.</w:t>
      </w:r>
    </w:p>
    <w:p>
      <w:pPr>
        <w:pStyle w:val="BodyText"/>
      </w:pPr>
      <w:r>
        <w:rPr>
          <w:bCs/>
          <w:b/>
        </w:rPr>
        <w:t xml:space="preserve">Sales Report Prepared By:</w:t>
      </w:r>
      <w:r>
        <w:t xml:space="preserve"> </w:t>
      </w:r>
      <w:r>
        <w:t xml:space="preserve">Global Business Development Team | The Economist Group</w:t>
      </w:r>
    </w:p>
    <w:p>
      <w:pPr>
        <w:pStyle w:val="BodyText"/>
      </w:pPr>
      <w:r>
        <w:rPr>
          <w:bCs/>
          <w:b/>
        </w:rPr>
        <w:t xml:space="preserve">Date:</w:t>
      </w:r>
      <w:r>
        <w:t xml:space="preserve"> </w:t>
      </w:r>
      <w:r>
        <w:t xml:space="preserve">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Israel Tel Aviv Market</dc:title>
  <dc:creator/>
  <dc:language>en</dc:language>
  <cp:keywords/>
  <dcterms:created xsi:type="dcterms:W3CDTF">2026-07-24T21:33:31Z</dcterms:created>
  <dcterms:modified xsi:type="dcterms:W3CDTF">2026-07-24T21:33:31Z</dcterms:modified>
</cp:coreProperties>
</file>

<file path=docProps/custom.xml><?xml version="1.0" encoding="utf-8"?>
<Properties xmlns="http://schemas.openxmlformats.org/officeDocument/2006/custom-properties" xmlns:vt="http://schemas.openxmlformats.org/officeDocument/2006/docPropsVTypes"/>
</file>