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Italy</w:t>
      </w:r>
      <w:r>
        <w:t xml:space="preserve"> </w:t>
      </w:r>
      <w:r>
        <w:t xml:space="preserve">Milan</w:t>
      </w:r>
      <w:r>
        <w:t xml:space="preserve"> </w:t>
      </w:r>
      <w:r>
        <w:t xml:space="preserve">Market</w:t>
      </w:r>
    </w:p>
    <w:bookmarkStart w:id="27" w:name="Xc2e2a1f7da95a76d8a9f8415f61d442bdd8fd10"/>
    <w:p>
      <w:pPr>
        <w:pStyle w:val="Heading1"/>
      </w:pPr>
      <w:r>
        <w:t xml:space="preserve">Comprehensive Sales Report: The Economist's Performance and Strategy in Italy Milan (Q3 2023)</w:t>
      </w:r>
    </w:p>
    <w:bookmarkStart w:id="20" w:name="executive-summary"/>
    <w:p>
      <w:pPr>
        <w:pStyle w:val="Heading2"/>
      </w:pPr>
      <w:r>
        <w:t xml:space="preserve">Executive Summary</w:t>
      </w:r>
    </w:p>
    <w:p>
      <w:pPr>
        <w:pStyle w:val="FirstParagraph"/>
      </w:pPr>
      <w:r>
        <w:t xml:space="preserve">This Sales Report details the strategic performance, market dynamics, and growth trajectory of</w:t>
      </w:r>
      <w:r>
        <w:t xml:space="preserve"> </w:t>
      </w:r>
      <w:r>
        <w:rPr>
          <w:iCs/>
          <w:i/>
        </w:rPr>
        <w:t xml:space="preserve">The Economist</w:t>
      </w:r>
      <w:r>
        <w:t xml:space="preserve"> </w:t>
      </w:r>
      <w:r>
        <w:t xml:space="preserve">within the premium media landscape of Italy Milan. As Europe's premier business and international affairs publication, The Economist has maintained a strong foothold in Italy Milan—a city representing 15% of Italy's GDP and home to 40% of the nation's Fortune 500 headquarters. Our Q3 sales data reveals a resilient subscription base with digital growth accelerating at 22% year-over-year, outpacing print decline. This report confirms The Economist's strategic positioning as the indispensable intelligence source for Milan's business elite, reinforcing our commitment to serving Italy Milan with tailored content and distribution excellence.</w:t>
      </w:r>
    </w:p>
    <w:bookmarkEnd w:id="20"/>
    <w:bookmarkStart w:id="21" w:name="X853e8a848b7d88a9b9ce1844f27df907bb4918d"/>
    <w:p>
      <w:pPr>
        <w:pStyle w:val="Heading2"/>
      </w:pPr>
      <w:r>
        <w:t xml:space="preserve">Market Context: Italy Milan Premium Media Landscape</w:t>
      </w:r>
    </w:p>
    <w:p>
      <w:pPr>
        <w:pStyle w:val="FirstParagraph"/>
      </w:pPr>
      <w:r>
        <w:t xml:space="preserve">Italy Milan operates as a unique microcosm of European economic ambition. As the financial heart of Italy—hosting Borsa Italiana, major banks like Intesa Sanpaolo, and global corporate HQs—the demand for authoritative economic analysis has never been higher. The Economist's presence in this market is not merely commercial but strategic: 78% of our Milan subscribers hold executive roles (C-suite or equivalent), with 64% citing "The Economist" as their primary source for geopolitical insights affecting Italian investments. Competitors like Financial Times and Il Sole 24 Ore struggle to match The Economist's global perspective integrated with Italy-specific analysis—a critical differentiator in Italy Milan's hyper-connected business ecosystem.</w:t>
      </w:r>
    </w:p>
    <w:bookmarkEnd w:id="21"/>
    <w:bookmarkStart w:id="22" w:name="q3-sales-performance-key-metrics"/>
    <w:p>
      <w:pPr>
        <w:pStyle w:val="Heading2"/>
      </w:pPr>
      <w:r>
        <w:t xml:space="preserve">Q3 Sales Performance: Key Metrics</w:t>
      </w:r>
    </w:p>
    <w:p>
      <w:pPr>
        <w:pStyle w:val="FirstParagraph"/>
      </w:pPr>
      <w:r>
        <w:t xml:space="preserve">Metric</w:t>
      </w:r>
    </w:p>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Subscribers (Italy Milan)</w:t>
      </w:r>
    </w:p>
    <w:p>
      <w:pPr>
        <w:pStyle w:val="BodyText"/>
      </w:pPr>
      <w:r>
        <w:t xml:space="preserve">18,450</w:t>
      </w:r>
    </w:p>
    <w:p>
      <w:pPr>
        <w:pStyle w:val="BodyText"/>
      </w:pPr>
      <w:r>
        <w:t xml:space="preserve">+18.7%</w:t>
      </w:r>
    </w:p>
    <w:p>
      <w:pPr>
        <w:pStyle w:val="BodyText"/>
      </w:pPr>
      <w:r>
        <w:t xml:space="preserve">92% of Target</w:t>
      </w:r>
    </w:p>
    <w:p>
      <w:pPr>
        <w:pStyle w:val="BodyText"/>
      </w:pPr>
      <w:r>
        <w:t xml:space="preserve">Digital Subscriptions (Italy Milan)</w:t>
      </w:r>
    </w:p>
    <w:p>
      <w:pPr>
        <w:pStyle w:val="BodyText"/>
      </w:pPr>
      <w:r>
        <w:t xml:space="preserve">14,200 (+22.1% YoY)</w:t>
      </w:r>
    </w:p>
    <w:p>
      <w:pPr>
        <w:pStyle w:val="BodyText"/>
      </w:pPr>
      <w:r>
        <w:t xml:space="preserve">+35.6%</w:t>
      </w:r>
    </w:p>
    <w:p>
      <w:pPr>
        <w:pStyle w:val="BodyText"/>
      </w:pPr>
      <w:r>
        <w:t xml:space="preserve">107% of Target</w:t>
      </w:r>
    </w:p>
    <w:p>
      <w:pPr>
        <w:pStyle w:val="BodyText"/>
      </w:pPr>
      <w:r>
        <w:t xml:space="preserve">Print Subscriptions (Italy Milan)</w:t>
      </w:r>
    </w:p>
    <w:p>
      <w:pPr>
        <w:pStyle w:val="BodyText"/>
      </w:pPr>
      <w:r>
        <w:t xml:space="preserve">4,250 (-8.3% YoY)</w:t>
      </w:r>
    </w:p>
    <w:p>
      <w:pPr>
        <w:pStyle w:val="BodyText"/>
      </w:pPr>
      <w:r>
        <w:t xml:space="preserve">-12.4%</w:t>
      </w:r>
    </w:p>
    <w:p>
      <w:pPr>
        <w:pStyle w:val="BodyText"/>
      </w:pPr>
      <w:r>
        <w:t xml:space="preserve">78% of Target</w:t>
      </w:r>
    </w:p>
    <w:p>
      <w:pPr>
        <w:pStyle w:val="BodyText"/>
      </w:pPr>
      <w:r>
        <w:t xml:space="preserve">Newsstand Revenue (Milan)</w:t>
      </w:r>
    </w:p>
    <w:p>
      <w:pPr>
        <w:pStyle w:val="BodyText"/>
      </w:pPr>
      <w:r>
        <w:t xml:space="preserve">€142,500</w:t>
      </w:r>
    </w:p>
    <w:p>
      <w:pPr>
        <w:pStyle w:val="BodyText"/>
      </w:pPr>
      <w:r>
        <w:t xml:space="preserve">+3.9%</w:t>
      </w:r>
    </w:p>
    <w:p>
      <w:pPr>
        <w:pStyle w:val="BodyText"/>
      </w:pPr>
      <w:r>
        <w:t xml:space="preserve">N/A</w:t>
      </w:r>
    </w:p>
    <w:p>
      <w:pPr>
        <w:pStyle w:val="BodyText"/>
      </w:pPr>
      <w:r>
        <w:t xml:space="preserve">Corporate Bundle Sales (Milan)</w:t>
      </w:r>
    </w:p>
    <w:p>
      <w:pPr>
        <w:pStyle w:val="BodyText"/>
      </w:pPr>
      <w:r>
        <w:t xml:space="preserve">875 agreements</w:t>
      </w:r>
    </w:p>
    <w:p>
      <w:pPr>
        <w:pStyle w:val="BodyText"/>
      </w:pPr>
      <w:r>
        <w:t xml:space="preserve">+14.2%</w:t>
      </w:r>
    </w:p>
    <w:p>
      <w:pPr>
        <w:pStyle w:val="BodyText"/>
      </w:pPr>
      <w:r>
        <w:t xml:space="preserve">103% of Target</w:t>
      </w:r>
    </w:p>
    <w:p>
      <w:pPr>
        <w:pStyle w:val="BodyText"/>
      </w:pPr>
      <w:r>
        <w:t xml:space="preserve">The data underscores a clear pivot toward digital consumption while maintaining premium print relevance for Milan's boardrooms. Notably, corporate subscriptions (bundling The Economist with executive briefings) grew 28% in Milan—driven by demand from automotive giants like Ferrari and luxury conglomerates such as Moncler. This growth directly supports The Economist's strategic goal of embedding its brand into Italy Milan's decision-making infrastructure.</w:t>
      </w:r>
    </w:p>
    <w:bookmarkEnd w:id="22"/>
    <w:bookmarkStart w:id="23" w:name="strategic-initiatives-driving-success"/>
    <w:p>
      <w:pPr>
        <w:pStyle w:val="Heading2"/>
      </w:pPr>
      <w:r>
        <w:t xml:space="preserve">Strategic Initiatives Driving Success</w:t>
      </w:r>
    </w:p>
    <w:p>
      <w:pPr>
        <w:pStyle w:val="FirstParagraph"/>
      </w:pPr>
      <w:r>
        <w:t xml:space="preserve">Our success in Italy Milan stems from hyper-localized initiatives aligned with the city's economic priorities:</w:t>
      </w:r>
    </w:p>
    <w:p>
      <w:pPr>
        <w:numPr>
          <w:ilvl w:val="0"/>
          <w:numId w:val="1001"/>
        </w:numPr>
        <w:pStyle w:val="Compact"/>
      </w:pPr>
      <w:r>
        <w:rPr>
          <w:bCs/>
          <w:b/>
        </w:rPr>
        <w:t xml:space="preserve">Milan-Specific Content Series:</w:t>
      </w:r>
      <w:r>
        <w:t xml:space="preserve"> </w:t>
      </w:r>
      <w:r>
        <w:t xml:space="preserve">Launch of "Economist Italia Focus" (3x/month), featuring exclusive analysis on Milan-based investments, EU regulatory impacts on Italian manufacturing, and fashion-industry disruption. This series generated 47% higher engagement than global editions among Milan subscribers.</w:t>
      </w:r>
    </w:p>
    <w:p>
      <w:pPr>
        <w:numPr>
          <w:ilvl w:val="0"/>
          <w:numId w:val="1001"/>
        </w:numPr>
        <w:pStyle w:val="Compact"/>
      </w:pPr>
      <w:r>
        <w:rPr>
          <w:bCs/>
          <w:b/>
        </w:rPr>
        <w:t xml:space="preserve">Corporate Partnership Program:</w:t>
      </w:r>
      <w:r>
        <w:t xml:space="preserve"> </w:t>
      </w:r>
      <w:r>
        <w:t xml:space="preserve">Strategic alliances with Milan's top business schools (Bocconi University) and chambers of commerce (Confcommercio Milano), offering tailored executive access to The Economist's geopolitical risk tools. These partnerships delivered 215 new corporate accounts in Q3.</w:t>
      </w:r>
    </w:p>
    <w:p>
      <w:pPr>
        <w:numPr>
          <w:ilvl w:val="0"/>
          <w:numId w:val="1001"/>
        </w:numPr>
        <w:pStyle w:val="Compact"/>
      </w:pPr>
      <w:r>
        <w:rPr>
          <w:bCs/>
          <w:b/>
        </w:rPr>
        <w:t xml:space="preserve">Digital Experience Optimization:</w:t>
      </w:r>
      <w:r>
        <w:t xml:space="preserve"> </w:t>
      </w:r>
      <w:r>
        <w:t xml:space="preserve">A localized app version with Milan time-zone alerts for market-moving news, and integration with Bloomberg Terminal used by 73% of our Milan corporate clients. This reduced bounce rates by 31% on mobile platforms.</w:t>
      </w:r>
    </w:p>
    <w:bookmarkEnd w:id="23"/>
    <w:bookmarkStart w:id="24" w:name="challenges-in-the-italy-milan-market"/>
    <w:p>
      <w:pPr>
        <w:pStyle w:val="Heading2"/>
      </w:pPr>
      <w:r>
        <w:t xml:space="preserve">Challenges in the Italy Milan Market</w:t>
      </w:r>
    </w:p>
    <w:p>
      <w:pPr>
        <w:pStyle w:val="FirstParagraph"/>
      </w:pPr>
      <w:r>
        <w:t xml:space="preserve">Despite strong growth, three challenges require urgent attention:</w:t>
      </w:r>
    </w:p>
    <w:p>
      <w:pPr>
        <w:numPr>
          <w:ilvl w:val="0"/>
          <w:numId w:val="1002"/>
        </w:numPr>
        <w:pStyle w:val="Compact"/>
      </w:pPr>
      <w:r>
        <w:rPr>
          <w:bCs/>
          <w:b/>
        </w:rPr>
        <w:t xml:space="preserve">Cultural Content Preferences:</w:t>
      </w:r>
      <w:r>
        <w:t xml:space="preserve"> </w:t>
      </w:r>
      <w:r>
        <w:t xml:space="preserve">Milanese executives increasingly demand Italian-language analysis alongside English content. Only 38% of digital subscribers access Spanish/Italian translations (vs. 65% industry average), creating a retention risk for our premium audience.</w:t>
      </w:r>
    </w:p>
    <w:p>
      <w:pPr>
        <w:numPr>
          <w:ilvl w:val="0"/>
          <w:numId w:val="1002"/>
        </w:numPr>
        <w:pStyle w:val="Compact"/>
      </w:pPr>
      <w:r>
        <w:rPr>
          <w:bCs/>
          <w:b/>
        </w:rPr>
        <w:t xml:space="preserve">Competition from Local Media:</w:t>
      </w:r>
      <w:r>
        <w:t xml:space="preserve"> </w:t>
      </w:r>
      <w:r>
        <w:t xml:space="preserve">Italian publications like La Repubblica's "Il Sole" now offer daily economic podcasts targeting Milan executives—a feature The Economist lacks in its current Italy Milan offering.</w:t>
      </w:r>
    </w:p>
    <w:p>
      <w:pPr>
        <w:numPr>
          <w:ilvl w:val="0"/>
          <w:numId w:val="1002"/>
        </w:numPr>
        <w:pStyle w:val="Compact"/>
      </w:pPr>
      <w:r>
        <w:rPr>
          <w:bCs/>
          <w:b/>
        </w:rPr>
        <w:t xml:space="preserve">Digital Ad Revenue Pressure:</w:t>
      </w:r>
      <w:r>
        <w:t xml:space="preserve"> </w:t>
      </w:r>
      <w:r>
        <w:t xml:space="preserve">As traditional print decline accelerates, ad revenue (from Milan-based clients) grew only 4.2%—below the 10% sector target—due to broader digital ad market saturation in Italy.</w:t>
      </w:r>
    </w:p>
    <w:bookmarkEnd w:id="24"/>
    <w:bookmarkStart w:id="25" w:name="X489dda2bdc5eac72108fbdaaa8a921ad3eed59e"/>
    <w:p>
      <w:pPr>
        <w:pStyle w:val="Heading2"/>
      </w:pPr>
      <w:r>
        <w:t xml:space="preserve">Future Roadmap: Elevating The Economist in Italy Milan</w:t>
      </w:r>
    </w:p>
    <w:p>
      <w:pPr>
        <w:pStyle w:val="FirstParagraph"/>
      </w:pPr>
      <w:r>
        <w:t xml:space="preserve">Based on this Sales Report, our strategy for Q4 2023 focuses on three pillars:</w:t>
      </w:r>
    </w:p>
    <w:p>
      <w:pPr>
        <w:numPr>
          <w:ilvl w:val="0"/>
          <w:numId w:val="1003"/>
        </w:numPr>
        <w:pStyle w:val="Compact"/>
      </w:pPr>
      <w:r>
        <w:rPr>
          <w:bCs/>
          <w:b/>
        </w:rPr>
        <w:t xml:space="preserve">Localization at Scale:</w:t>
      </w:r>
      <w:r>
        <w:t xml:space="preserve"> </w:t>
      </w:r>
      <w:r>
        <w:t xml:space="preserve">Launching "Economist Italia" (full Italian-language edition) by December 2023, featuring Milan-focused data visualizations and interviews with Lombardy region policymakers. This addresses the cultural content gap while preserving The Economist's global brand integrity.</w:t>
      </w:r>
    </w:p>
    <w:p>
      <w:pPr>
        <w:numPr>
          <w:ilvl w:val="0"/>
          <w:numId w:val="1003"/>
        </w:numPr>
        <w:pStyle w:val="Compact"/>
      </w:pPr>
      <w:r>
        <w:rPr>
          <w:bCs/>
          <w:b/>
        </w:rPr>
        <w:t xml:space="preserve">Exclusive Milan Events:</w:t>
      </w:r>
      <w:r>
        <w:t xml:space="preserve"> </w:t>
      </w:r>
      <w:r>
        <w:t xml:space="preserve">Hosting quarterly "Economist Summit" dinners in Milan (at venues like Palazzo Serbelloni), featuring speakers such as Bank of Italy Governor Ignazio Visco and Unicredit CEO Jean Pierre Musty. These events convert 35% of attendees to annual subscriptions, with high corporate attendance.</w:t>
      </w:r>
    </w:p>
    <w:p>
      <w:pPr>
        <w:numPr>
          <w:ilvl w:val="0"/>
          <w:numId w:val="1003"/>
        </w:numPr>
        <w:pStyle w:val="Compact"/>
      </w:pPr>
      <w:r>
        <w:rPr>
          <w:bCs/>
          <w:b/>
        </w:rPr>
        <w:t xml:space="preserve">AI-Powered Personalization:</w:t>
      </w:r>
      <w:r>
        <w:t xml:space="preserve"> </w:t>
      </w:r>
      <w:r>
        <w:t xml:space="preserve">Introducing an algorithm that curates Milan-specific content based on user industry (e.g., automotive vs. finance) and reading history—targeting a 25% increase in digital engagement by Q1 2024.</w:t>
      </w:r>
    </w:p>
    <w:bookmarkEnd w:id="25"/>
    <w:bookmarkStart w:id="26" w:name="X04a295763714c306f28d2606b19de496f2ffea6"/>
    <w:p>
      <w:pPr>
        <w:pStyle w:val="Heading2"/>
      </w:pPr>
      <w:r>
        <w:t xml:space="preserve">Conclusion: The Economist as Italy Milan's Strategic Asset</w:t>
      </w:r>
    </w:p>
    <w:p>
      <w:pPr>
        <w:pStyle w:val="FirstParagraph"/>
      </w:pPr>
      <w:r>
        <w:t xml:space="preserve">This Sales Report affirms that The Economist is not merely selling subscriptions in Italy Milan—it is becoming the operational intelligence backbone for Europe's most dynamic business hub. With digital adoption surging and corporate partnerships deepening, our market position has never been stronger. The strategic investment in Milan-specific content and events directly translates to revenue growth: every euro spent on localization yields a 3.7x ROI through premium subscription retention.</w:t>
      </w:r>
    </w:p>
    <w:p>
      <w:pPr>
        <w:pStyle w:val="BodyText"/>
      </w:pPr>
      <w:r>
        <w:t xml:space="preserve">As we enter Q4, our focus remains unwavering: to ensure The Economist is the first resource Italian Milan executives turn to when navigating global markets. This Sales Report provides the data-driven roadmap for sustaining this leadership—proving that in Italy Milan's competitive landscape, The Economist isn't just a publication; it's an indispensable business partner. We project 24% subscription growth by Q1 2024, solidifying The Economist as the preeminent voice for strategic decision-makers across Italy Milan and beyond.</w:t>
      </w:r>
    </w:p>
    <w:p>
      <w:pPr>
        <w:pStyle w:val="BodyText"/>
      </w:pPr>
      <w:r>
        <w:rPr>
          <w:bCs/>
          <w:b/>
        </w:rPr>
        <w:t xml:space="preserve">Prepared for: Global Sales Leadership | Date: October 15, 2023 | Confidential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Italy Milan Market</dc:title>
  <dc:creator/>
  <dc:language>en</dc:language>
  <cp:keywords/>
  <dcterms:created xsi:type="dcterms:W3CDTF">2026-07-23T22:19:27Z</dcterms:created>
  <dcterms:modified xsi:type="dcterms:W3CDTF">2026-07-23T22:19:27Z</dcterms:modified>
</cp:coreProperties>
</file>

<file path=docProps/custom.xml><?xml version="1.0" encoding="utf-8"?>
<Properties xmlns="http://schemas.openxmlformats.org/officeDocument/2006/custom-properties" xmlns:vt="http://schemas.openxmlformats.org/officeDocument/2006/docPropsVTypes"/>
</file>