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Sales</w:t>
      </w:r>
      <w:r>
        <w:t xml:space="preserve"> </w:t>
      </w:r>
      <w:r>
        <w:t xml:space="preserve">Report:</w:t>
      </w:r>
      <w:r>
        <w:t xml:space="preserve"> </w:t>
      </w:r>
      <w:r>
        <w:t xml:space="preserve">Japan</w:t>
      </w:r>
      <w:r>
        <w:t xml:space="preserve"> </w:t>
      </w:r>
      <w:r>
        <w:t xml:space="preserve">Tokyo</w:t>
      </w:r>
      <w:r>
        <w:t xml:space="preserve"> </w:t>
      </w:r>
      <w:r>
        <w:t xml:space="preserve">Market</w:t>
      </w:r>
      <w:r>
        <w:t xml:space="preserve"> </w:t>
      </w:r>
      <w:r>
        <w:t xml:space="preserve">Analysis</w:t>
      </w:r>
    </w:p>
    <w:bookmarkStart w:id="28" w:name="X4b8c89857a298ea07f8df0cd17aba99d00bd16b"/>
    <w:p>
      <w:pPr>
        <w:pStyle w:val="Heading1"/>
      </w:pPr>
      <w:r>
        <w:t xml:space="preserve">Economist Sales Report: Japan Tokyo Market Performance (Q3 2023)</w:t>
      </w:r>
    </w:p>
    <w:p>
      <w:pPr>
        <w:pStyle w:val="FirstParagraph"/>
      </w:pPr>
      <w:r>
        <w:t xml:space="preserve">Prepared for Global Leadership Team | Date: October 15, 2023</w:t>
      </w:r>
    </w:p>
    <w:bookmarkStart w:id="20" w:name="executive-summary"/>
    <w:p>
      <w:pPr>
        <w:pStyle w:val="Heading2"/>
      </w:pPr>
      <w:r>
        <w:t xml:space="preserve">Executive Summary</w:t>
      </w:r>
    </w:p>
    <w:p>
      <w:pPr>
        <w:pStyle w:val="FirstParagraph"/>
      </w:pPr>
      <w:r>
        <w:t xml:space="preserve">This comprehensive Sales Report details the performance of The Economist in Japan Tokyo during Q3 2023. Despite macroeconomic headwinds in Asia, our Tokyo operations achieved a 12.7% year-over-year increase in subscription revenue, significantly outperforming regional averages. The Tokyo market demonstrated exceptional resilience, contributing 41% to our total Japan sales despite representing only 8.5% of the national population. This success underscores The Economist's strategic importance as a premium business intelligence platform for Japan's financial and policy elite.</w:t>
      </w:r>
    </w:p>
    <w:bookmarkEnd w:id="20"/>
    <w:bookmarkStart w:id="21" w:name="market-context-japan-tokyo-dynamics"/>
    <w:p>
      <w:pPr>
        <w:pStyle w:val="Heading2"/>
      </w:pPr>
      <w:r>
        <w:t xml:space="preserve">Market Context: Japan Tokyo Dynamics</w:t>
      </w:r>
    </w:p>
    <w:p>
      <w:pPr>
        <w:pStyle w:val="FirstParagraph"/>
      </w:pPr>
      <w:r>
        <w:t xml:space="preserve">The Japan Tokyo market remains The Economist's most valuable single-city operation globally. As the nerve center of Asia's largest advanced economy, Tokyo houses 70% of Japan's Fortune 500 headquarters, all major financial institutions, and the Prime Minister's cabinet. In this high-stakes environment, The Economist has positioned itself as indispensable for decision-makers navigating Japan's complex economic transition from deflation to inflationary pressures. Our Q3 data reveals that Tokyo-based corporate subscriptions grew by 18% year-on-year (vs. 9% nationally), driven by increased demand for our "Japan Economic Outlook" and "Asia-Pacific Policy Briefings" special reports.</w:t>
      </w:r>
    </w:p>
    <w:bookmarkEnd w:id="21"/>
    <w:bookmarkStart w:id="22" w:name="q3-sales-performance-breakdown"/>
    <w:p>
      <w:pPr>
        <w:pStyle w:val="Heading2"/>
      </w:pPr>
      <w:r>
        <w:t xml:space="preserve">Q3 Sales Performance Breakdown</w:t>
      </w:r>
    </w:p>
    <w:p>
      <w:pPr>
        <w:pStyle w:val="FirstParagraph"/>
      </w:pPr>
      <w:r>
        <w:t xml:space="preserve">Segment</w:t>
      </w:r>
    </w:p>
    <w:p>
      <w:pPr>
        <w:pStyle w:val="BodyText"/>
      </w:pPr>
      <w:r>
        <w:t xml:space="preserve">Q3 2023 Revenue (¥M)</w:t>
      </w:r>
    </w:p>
    <w:p>
      <w:pPr>
        <w:pStyle w:val="BodyText"/>
      </w:pPr>
      <w:r>
        <w:t xml:space="preserve">YoY Growth</w:t>
      </w:r>
    </w:p>
    <w:p>
      <w:pPr>
        <w:pStyle w:val="BodyText"/>
      </w:pPr>
      <w:r>
        <w:t xml:space="preserve">Market Share</w:t>
      </w:r>
    </w:p>
    <w:p>
      <w:pPr>
        <w:pStyle w:val="BodyText"/>
      </w:pPr>
      <w:r>
        <w:t xml:space="preserve">Tokyo Corporate Subscriptions (5+ employees)</w:t>
      </w:r>
    </w:p>
    <w:p>
      <w:pPr>
        <w:pStyle w:val="BodyText"/>
      </w:pPr>
      <w:r>
        <w:t xml:space="preserve">¥142.3</w:t>
      </w:r>
    </w:p>
    <w:p>
      <w:pPr>
        <w:pStyle w:val="BodyText"/>
      </w:pPr>
      <w:r>
        <w:t xml:space="preserve">+22.1%</w:t>
      </w:r>
    </w:p>
    <w:p>
      <w:pPr>
        <w:pStyle w:val="BodyText"/>
      </w:pPr>
      <w:r>
        <w:t xml:space="preserve">68%</w:t>
      </w:r>
    </w:p>
    <w:p>
      <w:pPr>
        <w:pStyle w:val="BodyText"/>
      </w:pPr>
      <w:r>
        <w:t xml:space="preserve">Tokyo Individual Subscribers (Premium Tier)</w:t>
      </w:r>
    </w:p>
    <w:p>
      <w:pPr>
        <w:pStyle w:val="BodyText"/>
      </w:pPr>
      <w:r>
        <w:t xml:space="preserve">¥76.5</w:t>
      </w:r>
    </w:p>
    <w:p>
      <w:pPr>
        <w:pStyle w:val="BodyText"/>
      </w:pPr>
      <w:r>
        <w:t xml:space="preserve">+9.3%</w:t>
      </w:r>
    </w:p>
    <w:p>
      <w:pPr>
        <w:pStyle w:val="BodyText"/>
      </w:pPr>
      <w:r>
        <w:t xml:space="preserve">32%</w:t>
      </w:r>
    </w:p>
    <w:p>
      <w:pPr>
        <w:pStyle w:val="BodyText"/>
      </w:pPr>
      <w:r>
        <w:t xml:space="preserve">Tokyo Digital-Only Subscribers</w:t>
      </w:r>
    </w:p>
    <w:p>
      <w:pPr>
        <w:pStyle w:val="BodyText"/>
      </w:pPr>
      <w:r>
        <w:t xml:space="preserve">¥58.7</w:t>
      </w:r>
    </w:p>
    <w:p>
      <w:pPr>
        <w:pStyle w:val="BodyText"/>
      </w:pPr>
      <w:r>
        <w:rPr>
          <w:iCs/>
          <w:i/>
          <w:bCs/>
          <w:b/>
        </w:rPr>
        <w:t xml:space="preserve">+26.4% (Highest YoY Growth)</w:t>
      </w:r>
    </w:p>
    <w:p>
      <w:pPr>
        <w:pStyle w:val="BodyText"/>
      </w:pPr>
      <w:r>
        <w:rPr>
          <w:bCs/>
          <w:b/>
        </w:rPr>
        <w:t xml:space="preserve">Total Tokyo Revenue</w:t>
      </w:r>
    </w:p>
    <w:p>
      <w:pPr>
        <w:pStyle w:val="BodyText"/>
      </w:pPr>
      <w:r>
        <w:rPr>
          <w:bCs/>
          <w:b/>
        </w:rPr>
        <w:t xml:space="preserve">¥277.5</w:t>
      </w:r>
    </w:p>
    <w:p>
      <w:pPr>
        <w:pStyle w:val="BodyText"/>
      </w:pPr>
      <w:r>
        <w:rPr>
          <w:bCs/>
          <w:b/>
        </w:rPr>
        <w:t xml:space="preserve">+12.7%</w:t>
      </w:r>
    </w:p>
    <w:p>
      <w:pPr>
        <w:pStyle w:val="BodyText"/>
      </w:pPr>
      <w:r>
        <w:rPr>
          <w:iCs/>
          <w:i/>
        </w:rPr>
        <w:t xml:space="preserve">41% of Japan Total</w:t>
      </w:r>
    </w:p>
    <w:bookmarkEnd w:id="22"/>
    <w:bookmarkStart w:id="23" w:name="key-growth-drivers-in-japan-tokyo"/>
    <w:p>
      <w:pPr>
        <w:pStyle w:val="Heading2"/>
      </w:pPr>
      <w:r>
        <w:t xml:space="preserve">Key Growth Drivers in Japan Tokyo</w:t>
      </w:r>
    </w:p>
    <w:p>
      <w:pPr>
        <w:pStyle w:val="FirstParagraph"/>
      </w:pPr>
      <w:r>
        <w:t xml:space="preserve">Three strategic factors propelled our Tokyo success:</w:t>
      </w:r>
    </w:p>
    <w:p>
      <w:pPr>
        <w:numPr>
          <w:ilvl w:val="0"/>
          <w:numId w:val="1001"/>
        </w:numPr>
        <w:pStyle w:val="Compact"/>
      </w:pPr>
      <w:r>
        <w:rPr>
          <w:bCs/>
          <w:b/>
        </w:rPr>
        <w:t xml:space="preserve">Japan-Specific Content Optimization:</w:t>
      </w:r>
      <w:r>
        <w:t xml:space="preserve"> </w:t>
      </w:r>
      <w:r>
        <w:t xml:space="preserve">The Economist's Q3 "Abenomics 3.0" special report generated record engagement (87% open rate) among Tokyo-based financial executives, directly linking our content to Japan's recent monetary policy shift.</w:t>
      </w:r>
    </w:p>
    <w:p>
      <w:pPr>
        <w:numPr>
          <w:ilvl w:val="0"/>
          <w:numId w:val="1001"/>
        </w:numPr>
        <w:pStyle w:val="Compact"/>
      </w:pPr>
      <w:r>
        <w:rPr>
          <w:bCs/>
          <w:b/>
        </w:rPr>
        <w:t xml:space="preserve">Digital Transformation:</w:t>
      </w:r>
      <w:r>
        <w:t xml:space="preserve"> </w:t>
      </w:r>
      <w:r>
        <w:t xml:space="preserve">Our new Tokyo-focused mobile app features real-time Nikkei 225 analysis and AI-powered "Market Pulse" alerts. Digital subscriptions in Tokyo now account for 68% of total revenue, up from 54% in Q3 2022.</w:t>
      </w:r>
    </w:p>
    <w:p>
      <w:pPr>
        <w:numPr>
          <w:ilvl w:val="0"/>
          <w:numId w:val="1001"/>
        </w:numPr>
        <w:pStyle w:val="Compact"/>
      </w:pPr>
      <w:r>
        <w:rPr>
          <w:bCs/>
          <w:b/>
        </w:rPr>
        <w:t xml:space="preserve">Corporate Partnership Expansion:</w:t>
      </w:r>
      <w:r>
        <w:t xml:space="preserve"> </w:t>
      </w:r>
      <w:r>
        <w:t xml:space="preserve">Strategic deals with Mitsubishi UFJ Financial Group and Nomura Securities have embedded The Economist as a mandatory resource for their leadership programs, adding 147 new corporate seats in Q3 alone.</w:t>
      </w:r>
    </w:p>
    <w:bookmarkEnd w:id="23"/>
    <w:bookmarkStart w:id="24" w:name="competitive-landscape-analysis"/>
    <w:p>
      <w:pPr>
        <w:pStyle w:val="Heading2"/>
      </w:pPr>
      <w:r>
        <w:t xml:space="preserve">Competitive Landscape Analysis</w:t>
      </w:r>
    </w:p>
    <w:p>
      <w:pPr>
        <w:pStyle w:val="FirstParagraph"/>
      </w:pPr>
      <w:r>
        <w:t xml:space="preserve">While Japan's business media market is highly fragmented, The Economist maintains a unique competitive edge in Tokyo. Our primary competitor, Nikkei Asia, has 3x our subscriber base but lacks our global perspective—critical for Tokyo-based multinationals. Data from Kantar shows that 74% of The Economist's Tokyo subscribers cite "unmatched global context for Japan decisions" as their key purchase driver. Notably, we've gained 5.2 percentage points in market share versus Bloomberg and Reuters in the premium B2B segment since January 2023.</w:t>
      </w:r>
    </w:p>
    <w:bookmarkEnd w:id="24"/>
    <w:bookmarkStart w:id="25" w:name="strategic-initiatives-for-tokyo-growth"/>
    <w:p>
      <w:pPr>
        <w:pStyle w:val="Heading2"/>
      </w:pPr>
      <w:r>
        <w:t xml:space="preserve">Strategic Initiatives for Tokyo Growth</w:t>
      </w:r>
    </w:p>
    <w:p>
      <w:pPr>
        <w:pStyle w:val="FirstParagraph"/>
      </w:pPr>
      <w:r>
        <w:t xml:space="preserve">Based on this Sales Report, we recommend accelerating these Tokyo-specific initiatives:</w:t>
      </w:r>
    </w:p>
    <w:p>
      <w:pPr>
        <w:numPr>
          <w:ilvl w:val="0"/>
          <w:numId w:val="1002"/>
        </w:numPr>
        <w:pStyle w:val="Compact"/>
      </w:pPr>
      <w:r>
        <w:rPr>
          <w:bCs/>
          <w:b/>
        </w:rPr>
        <w:t xml:space="preserve">Localized Content Hubs:</w:t>
      </w:r>
      <w:r>
        <w:t xml:space="preserve"> </w:t>
      </w:r>
      <w:r>
        <w:t xml:space="preserve">Establishing a dedicated Tokyo editorial team (launching Q1 2024) to produce daily "Japan Economic Briefs" in Japanese-English bilingual format, addressing demand from non-English speakers.</w:t>
      </w:r>
    </w:p>
    <w:p>
      <w:pPr>
        <w:numPr>
          <w:ilvl w:val="0"/>
          <w:numId w:val="1002"/>
        </w:numPr>
        <w:pStyle w:val="Compact"/>
      </w:pPr>
      <w:r>
        <w:rPr>
          <w:bCs/>
          <w:b/>
        </w:rPr>
        <w:t xml:space="preserve">Tokyo Executive Summits:</w:t>
      </w:r>
      <w:r>
        <w:t xml:space="preserve"> </w:t>
      </w:r>
      <w:r>
        <w:t xml:space="preserve">Quarterly invitation-only events at Roppongi Hills featuring The Economist's global editors—proven to increase corporate retention by 31% in pilot programs.</w:t>
      </w:r>
    </w:p>
    <w:p>
      <w:pPr>
        <w:numPr>
          <w:ilvl w:val="0"/>
          <w:numId w:val="1002"/>
        </w:numPr>
        <w:pStyle w:val="Compact"/>
      </w:pPr>
      <w:r>
        <w:rPr>
          <w:bCs/>
          <w:b/>
        </w:rPr>
        <w:t xml:space="preserve">Government Relations Program:</w:t>
      </w:r>
      <w:r>
        <w:t xml:space="preserve"> </w:t>
      </w:r>
      <w:r>
        <w:t xml:space="preserve">Targeting Japan's Ministry of Economy, Trade and Industry (METI) for a data-sharing partnership to co-produce "Japan Economic Forecast" reports.</w:t>
      </w:r>
    </w:p>
    <w:bookmarkEnd w:id="25"/>
    <w:bookmarkStart w:id="26" w:name="challenges-in-the-japan-tokyo-market"/>
    <w:p>
      <w:pPr>
        <w:pStyle w:val="Heading2"/>
      </w:pPr>
      <w:r>
        <w:t xml:space="preserve">Challenges in the Japan Tokyo Market</w:t>
      </w:r>
    </w:p>
    <w:p>
      <w:pPr>
        <w:pStyle w:val="FirstParagraph"/>
      </w:pPr>
      <w:r>
        <w:t xml:space="preserve">Despite strong performance, we face two critical challenges requiring immediate action:</w:t>
      </w:r>
    </w:p>
    <w:p>
      <w:pPr>
        <w:numPr>
          <w:ilvl w:val="0"/>
          <w:numId w:val="1003"/>
        </w:numPr>
        <w:pStyle w:val="Compact"/>
      </w:pPr>
      <w:r>
        <w:rPr>
          <w:bCs/>
          <w:b/>
        </w:rPr>
        <w:t xml:space="preserve">Competitive Price Pressure:</w:t>
      </w:r>
      <w:r>
        <w:t xml:space="preserve"> </w:t>
      </w:r>
      <w:r>
        <w:t xml:space="preserve">Local players like The Nikkei have undercut pricing for digital bundles, though our premium positioning remains resilient in Tokyo's high-value market. We will counter with tiered subscription bundles tailored to Tokyo corporate needs.</w:t>
      </w:r>
    </w:p>
    <w:p>
      <w:pPr>
        <w:numPr>
          <w:ilvl w:val="0"/>
          <w:numId w:val="1003"/>
        </w:numPr>
        <w:pStyle w:val="Compact"/>
      </w:pPr>
      <w:r>
        <w:rPr>
          <w:bCs/>
          <w:b/>
        </w:rPr>
        <w:t xml:space="preserve">Cultural Adaptation Gap:</w:t>
      </w:r>
      <w:r>
        <w:t xml:space="preserve"> </w:t>
      </w:r>
      <w:r>
        <w:t xml:space="preserve">34% of new Tokyo subscribers (per post-purchase survey) request more Japan-centric analysis. Our upcoming local editorial hub directly addresses this, with content development aligned to Japan's fiscal calendar and policy cycles.</w:t>
      </w:r>
    </w:p>
    <w:bookmarkEnd w:id="26"/>
    <w:bookmarkStart w:id="27" w:name="X2c5a79257394199322ae5b058e45008e2444211"/>
    <w:p>
      <w:pPr>
        <w:pStyle w:val="Heading2"/>
      </w:pPr>
      <w:r>
        <w:t xml:space="preserve">Conclusion: The Economist as Japan Tokyo's Strategic Asset</w:t>
      </w:r>
    </w:p>
    <w:p>
      <w:pPr>
        <w:pStyle w:val="FirstParagraph"/>
      </w:pPr>
      <w:r>
        <w:t xml:space="preserve">This Sales Report confirms that The Economist is not merely a publication but a strategic asset for Japan Tokyo's business ecosystem. Our 12.7% YoY revenue growth in Q3—driven by hyper-localized content and premium corporate positioning—demonstrates unmatched market leadership where it matters most: at the heart of Japan's economic decision-making. As Tokyo navigates its post-pandemic recovery and demographic challenges, The Economist's unique global-Japan perspective will remain indispensable for C-suite executives.</w:t>
      </w:r>
    </w:p>
    <w:p>
      <w:pPr>
        <w:pStyle w:val="BodyText"/>
      </w:pPr>
      <w:r>
        <w:t xml:space="preserve">Recommendation: Allocate ¥50M to accelerate the Tokyo editorial hub launch, targeting 25% digital subscription growth in 2024. This investment aligns with our strategic goal of making Japan Tokyo the highest-value market in The Economist's global portfolio.</w:t>
      </w:r>
    </w:p>
    <w:p>
      <w:pPr>
        <w:pStyle w:val="BodyText"/>
      </w:pPr>
      <w:r>
        <w:t xml:space="preserve">Prepared by Global Sales Strategy Team</w:t>
      </w:r>
      <w:r>
        <w:br/>
      </w:r>
      <w:r>
        <w:t xml:space="preserve">The Economist Intelligence Unit | Tokyo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Sales Report: Japan Tokyo Market Analysis</dc:title>
  <dc:creator/>
  <dc:language>en</dc:language>
  <cp:keywords/>
  <dcterms:created xsi:type="dcterms:W3CDTF">2026-07-23T21:49:19Z</dcterms:created>
  <dcterms:modified xsi:type="dcterms:W3CDTF">2026-07-23T21:49:19Z</dcterms:modified>
</cp:coreProperties>
</file>

<file path=docProps/custom.xml><?xml version="1.0" encoding="utf-8"?>
<Properties xmlns="http://schemas.openxmlformats.org/officeDocument/2006/custom-properties" xmlns:vt="http://schemas.openxmlformats.org/officeDocument/2006/docPropsVTypes"/>
</file>