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a543f19bf2f6091f3a847e448786b52ca8947b6"/>
    <w:p>
      <w:pPr>
        <w:pStyle w:val="Heading1"/>
      </w:pPr>
      <w:r>
        <w:t xml:space="preserve">Comprehensive Sales Report: The Economist in Kenya Nairobi Market (Q3 2023)</w:t>
      </w:r>
    </w:p>
    <w:bookmarkStart w:id="20" w:name="executive-summary"/>
    <w:p>
      <w:pPr>
        <w:pStyle w:val="Heading2"/>
      </w:pPr>
      <w:r>
        <w:t xml:space="preserve">Executive Summary</w:t>
      </w:r>
    </w:p>
    <w:p>
      <w:pPr>
        <w:pStyle w:val="FirstParagraph"/>
      </w:pPr>
      <w:r>
        <w:t xml:space="preserve">This Sales Report presents a detailed analysis of The Economist's performance within the Kenya Nairobi market during Q3 2023. As the premier global publication offering in-depth analysis of economics, politics, and business, The Economist has maintained its position as an indispensable resource for Nairobi's decision-making elite. This report confirms a 12% year-on-year growth in subscription revenue within Kenya's capital city, driven by strategic digital expansion and targeted corporate partnerships. The Nairobi market represents 35% of The Economist's total Kenyan sales, underscoring its critical importance to our regional strategy.</w:t>
      </w:r>
    </w:p>
    <w:bookmarkEnd w:id="20"/>
    <w:bookmarkStart w:id="21" w:name="X0c8b11d6429a561f0136adfc553b58cca6bd804"/>
    <w:p>
      <w:pPr>
        <w:pStyle w:val="Heading2"/>
      </w:pPr>
      <w:r>
        <w:t xml:space="preserve">Current Sales Performance: Nairobi Market Snapshot</w:t>
      </w:r>
    </w:p>
    <w:p>
      <w:pPr>
        <w:pStyle w:val="FirstParagraph"/>
      </w:pPr>
      <w:r>
        <w:t xml:space="preserve">The Economist's sales performance in Kenya Nairobi has demonstrated remarkable resilience despite regional economic headwinds. As of September 30, 2023:</w:t>
      </w:r>
    </w:p>
    <w:p>
      <w:pPr>
        <w:numPr>
          <w:ilvl w:val="0"/>
          <w:numId w:val="1001"/>
        </w:numPr>
        <w:pStyle w:val="Compact"/>
      </w:pPr>
      <w:r>
        <w:rPr>
          <w:bCs/>
          <w:b/>
        </w:rPr>
        <w:t xml:space="preserve">Digital Subscriptions:</w:t>
      </w:r>
      <w:r>
        <w:t xml:space="preserve"> </w:t>
      </w:r>
      <w:r>
        <w:t xml:space="preserve">Grew by 18% YoY to 4,250 active users (78% of Nairobi total subscriptions)</w:t>
      </w:r>
    </w:p>
    <w:p>
      <w:pPr>
        <w:numPr>
          <w:ilvl w:val="0"/>
          <w:numId w:val="1001"/>
        </w:numPr>
        <w:pStyle w:val="Compact"/>
      </w:pPr>
      <w:r>
        <w:rPr>
          <w:bCs/>
          <w:b/>
        </w:rPr>
        <w:t xml:space="preserve">Print Subscriptions:</w:t>
      </w:r>
      <w:r>
        <w:t xml:space="preserve"> </w:t>
      </w:r>
      <w:r>
        <w:t xml:space="preserve">Increased by 6% YoY to 1,950 subscribers (primarily corporate accounts)</w:t>
      </w:r>
    </w:p>
    <w:p>
      <w:pPr>
        <w:numPr>
          <w:ilvl w:val="0"/>
          <w:numId w:val="1001"/>
        </w:numPr>
        <w:pStyle w:val="Compact"/>
      </w:pPr>
      <w:r>
        <w:rPr>
          <w:bCs/>
          <w:b/>
        </w:rPr>
        <w:t xml:space="preserve">Corporate Accounts:</w:t>
      </w:r>
      <w:r>
        <w:t xml:space="preserve"> </w:t>
      </w:r>
      <w:r>
        <w:t xml:space="preserve">Secured 42 new institutional subscriptions from Nairobi-based firms (including Barclays Africa, Safaricom, and KCB Group)</w:t>
      </w:r>
    </w:p>
    <w:p>
      <w:pPr>
        <w:numPr>
          <w:ilvl w:val="0"/>
          <w:numId w:val="1001"/>
        </w:numPr>
        <w:pStyle w:val="Compact"/>
      </w:pPr>
      <w:r>
        <w:rPr>
          <w:bCs/>
          <w:b/>
        </w:rPr>
        <w:t xml:space="preserve">Newsstand Sales:</w:t>
      </w:r>
      <w:r>
        <w:t xml:space="preserve"> </w:t>
      </w:r>
      <w:r>
        <w:t xml:space="preserve">Declined by 15% due to digital migration but remain significant for tourism-driven traffic at Jomo Kenyatta International Airport</w:t>
      </w:r>
    </w:p>
    <w:bookmarkEnd w:id="21"/>
    <w:bookmarkStart w:id="22" w:name="market-analysis-why-nairobi-matters"/>
    <w:p>
      <w:pPr>
        <w:pStyle w:val="Heading2"/>
      </w:pPr>
      <w:r>
        <w:t xml:space="preserve">Market Analysis: Why Nairobi Matters</w:t>
      </w:r>
    </w:p>
    <w:p>
      <w:pPr>
        <w:pStyle w:val="FirstParagraph"/>
      </w:pPr>
      <w:r>
        <w:t xml:space="preserve">Nairobi stands as The Economist's most valuable market in East Africa, serving as the economic and political nerve center of the region. This Sales Report identifies three critical factors driving our success:</w:t>
      </w:r>
    </w:p>
    <w:p>
      <w:pPr>
        <w:numPr>
          <w:ilvl w:val="0"/>
          <w:numId w:val="1002"/>
        </w:numPr>
        <w:pStyle w:val="Compact"/>
      </w:pPr>
      <w:r>
        <w:rPr>
          <w:bCs/>
          <w:b/>
        </w:rPr>
        <w:t xml:space="preserve">Strategic Audience Alignment:</w:t>
      </w:r>
      <w:r>
        <w:t xml:space="preserve"> </w:t>
      </w:r>
      <w:r>
        <w:t xml:space="preserve">89% of Nairobi subscribers hold senior management positions (C-suite, directors) across finance, government, and international NGOs – precisely The Economist's core demographic.</w:t>
      </w:r>
    </w:p>
    <w:p>
      <w:pPr>
        <w:numPr>
          <w:ilvl w:val="0"/>
          <w:numId w:val="1002"/>
        </w:numPr>
        <w:pStyle w:val="Compact"/>
      </w:pPr>
      <w:r>
        <w:rPr>
          <w:bCs/>
          <w:b/>
        </w:rPr>
        <w:t xml:space="preserve">Economic Relevance:</w:t>
      </w:r>
      <w:r>
        <w:t xml:space="preserve"> </w:t>
      </w:r>
      <w:r>
        <w:t xml:space="preserve">The publication's coverage of Kenya's Sh1.5T budget debate, Central Bank policies, and the East Africa Power Pool resonates deeply with Nairobi decision-makers navigating complex economic shifts.</w:t>
      </w:r>
    </w:p>
    <w:p>
      <w:pPr>
        <w:numPr>
          <w:ilvl w:val="0"/>
          <w:numId w:val="1002"/>
        </w:numPr>
        <w:pStyle w:val="Compact"/>
      </w:pPr>
      <w:r>
        <w:rPr>
          <w:bCs/>
          <w:b/>
        </w:rPr>
        <w:t xml:space="preserve">Digital Adoption:</w:t>
      </w:r>
      <w:r>
        <w:t xml:space="preserve"> </w:t>
      </w:r>
      <w:r>
        <w:t xml:space="preserve">Nairobi's 82% smartphone penetration rate has accelerated our digital transition – with mobile app usage up 34% in Q3 from a base of 6,000 monthly active users.</w:t>
      </w:r>
    </w:p>
    <w:bookmarkEnd w:id="22"/>
    <w:bookmarkStart w:id="23" w:name="competitive-landscape-challenges"/>
    <w:p>
      <w:pPr>
        <w:pStyle w:val="Heading2"/>
      </w:pPr>
      <w:r>
        <w:t xml:space="preserve">Competitive Landscape &amp; Challenges</w:t>
      </w:r>
    </w:p>
    <w:p>
      <w:pPr>
        <w:pStyle w:val="FirstParagraph"/>
      </w:pPr>
      <w:r>
        <w:t xml:space="preserve">This Sales Report acknowledges significant challenges within the Kenya Nairobi media ecosystem:</w:t>
      </w:r>
    </w:p>
    <w:p>
      <w:pPr>
        <w:pStyle w:val="BodyText"/>
      </w:pPr>
      <w:r>
        <w:t xml:space="preserve">Competitor</w:t>
      </w:r>
    </w:p>
    <w:p>
      <w:pPr>
        <w:pStyle w:val="BodyText"/>
      </w:pPr>
      <w:r>
        <w:t xml:space="preserve">Nairobi Market Share</w:t>
      </w:r>
    </w:p>
    <w:p>
      <w:pPr>
        <w:pStyle w:val="BodyText"/>
      </w:pPr>
      <w:r>
        <w:t xml:space="preserve">Key Vulnerability vs. The Economist</w:t>
      </w:r>
    </w:p>
    <w:p>
      <w:pPr>
        <w:pStyle w:val="BodyText"/>
      </w:pPr>
      <w:r>
        <w:t xml:space="preserve">Africa Business Pages</w:t>
      </w:r>
    </w:p>
    <w:p>
      <w:pPr>
        <w:pStyle w:val="BodyText"/>
      </w:pPr>
      <w:r>
        <w:t xml:space="preserve">28%</w:t>
      </w:r>
    </w:p>
    <w:p>
      <w:pPr>
        <w:pStyle w:val="BodyText"/>
      </w:pPr>
      <w:r>
        <w:t xml:space="preserve">Limited global perspective; minimal digital innovation</w:t>
      </w:r>
    </w:p>
    <w:p>
      <w:pPr>
        <w:pStyle w:val="BodyText"/>
      </w:pPr>
      <w:r>
        <w:t xml:space="preserve">The Standard (Kenyan)</w:t>
      </w:r>
    </w:p>
    <w:p>
      <w:pPr>
        <w:pStyle w:val="BodyText"/>
      </w:pPr>
      <w:r>
        <w:t xml:space="preserve">19%</w:t>
      </w:r>
    </w:p>
    <w:p>
      <w:pPr>
        <w:pStyle w:val="BodyText"/>
      </w:pPr>
      <w:r>
        <w:t xml:space="preserve">Primarily local news focus; lacks international economic analysis</w:t>
      </w:r>
    </w:p>
    <w:p>
      <w:pPr>
        <w:pStyle w:val="BodyText"/>
      </w:pPr>
      <w:r>
        <w:t xml:space="preserve">The Nairobi News Network (Digital)</w:t>
      </w:r>
    </w:p>
    <w:p>
      <w:pPr>
        <w:pStyle w:val="BodyText"/>
      </w:pPr>
      <w:r>
        <w:t xml:space="preserve">Key challenges identified in our Nairobi operations include:</w:t>
      </w:r>
    </w:p>
    <w:p>
      <w:pPr>
        <w:numPr>
          <w:ilvl w:val="0"/>
          <w:numId w:val="1003"/>
        </w:numPr>
        <w:pStyle w:val="Compact"/>
      </w:pPr>
      <w:r>
        <w:t xml:space="preserve">Economic volatility impacting corporate budget cycles for subscriptions</w:t>
      </w:r>
    </w:p>
    <w:p>
      <w:pPr>
        <w:numPr>
          <w:ilvl w:val="0"/>
          <w:numId w:val="1003"/>
        </w:numPr>
        <w:pStyle w:val="Compact"/>
      </w:pPr>
      <w:r>
        <w:t xml:space="preserve">High competition from free digital news platforms targeting younger Kenyan professionals</w:t>
      </w:r>
    </w:p>
    <w:p>
      <w:pPr>
        <w:numPr>
          <w:ilvl w:val="0"/>
          <w:numId w:val="1003"/>
        </w:numPr>
        <w:pStyle w:val="Compact"/>
      </w:pPr>
      <w:r>
        <w:t xml:space="preserve">Pricing sensitivity among mid-tier enterprises despite The Economist's premium positioning</w:t>
      </w:r>
    </w:p>
    <w:bookmarkEnd w:id="23"/>
    <w:bookmarkStart w:id="24" w:name="strategic-opportunities-in-nairobi"/>
    <w:p>
      <w:pPr>
        <w:pStyle w:val="Heading2"/>
      </w:pPr>
      <w:r>
        <w:t xml:space="preserve">Strategic Opportunities in Nairobi</w:t>
      </w:r>
    </w:p>
    <w:p>
      <w:pPr>
        <w:pStyle w:val="FirstParagraph"/>
      </w:pPr>
      <w:r>
        <w:t xml:space="preserve">This Sales Report highlights three high-impact opportunities emerging in Kenya's capital city:</w:t>
      </w:r>
    </w:p>
    <w:p>
      <w:pPr>
        <w:numPr>
          <w:ilvl w:val="0"/>
          <w:numId w:val="1004"/>
        </w:numPr>
        <w:pStyle w:val="Compact"/>
      </w:pPr>
      <w:r>
        <w:rPr>
          <w:bCs/>
          <w:b/>
        </w:rPr>
        <w:t xml:space="preserve">Corporate Partnership Expansion:</w:t>
      </w:r>
      <w:r>
        <w:t xml:space="preserve"> </w:t>
      </w:r>
      <w:r>
        <w:t xml:space="preserve">Nairobi hosts 73% of Africa's Fortune 500 companies' regional HQs. Targeting these for bundled digital access (including The Economist and our sister publications) could unlock $280K in annual revenue.</w:t>
      </w:r>
    </w:p>
    <w:p>
      <w:pPr>
        <w:numPr>
          <w:ilvl w:val="0"/>
          <w:numId w:val="1004"/>
        </w:numPr>
        <w:pStyle w:val="Compact"/>
      </w:pPr>
      <w:r>
        <w:rPr>
          <w:bCs/>
          <w:b/>
        </w:rPr>
        <w:t xml:space="preserve">Digital Community Building:</w:t>
      </w:r>
      <w:r>
        <w:t xml:space="preserve"> </w:t>
      </w:r>
      <w:r>
        <w:t xml:space="preserve">Launching Nairobi-specific LinkedIn groups and WhatsApp channels for subscribers discussing Kenya's economic policies – currently piloted with 300 users showing 45% engagement rates.</w:t>
      </w:r>
    </w:p>
    <w:p>
      <w:pPr>
        <w:numPr>
          <w:ilvl w:val="0"/>
          <w:numId w:val="1004"/>
        </w:numPr>
        <w:pStyle w:val="Compact"/>
      </w:pPr>
      <w:r>
        <w:rPr>
          <w:bCs/>
          <w:b/>
        </w:rPr>
        <w:t xml:space="preserve">University Collaborations:</w:t>
      </w:r>
      <w:r>
        <w:t xml:space="preserve"> </w:t>
      </w:r>
      <w:r>
        <w:t xml:space="preserve">Partnering with University of Nairobi and Strathmore Business School to offer student subscriptions at $12/month (vs. standard $60), creating future brand loyalty among Kenya's next leadership cohort.</w:t>
      </w:r>
    </w:p>
    <w:bookmarkEnd w:id="24"/>
    <w:bookmarkStart w:id="25" w:name="action-plan-financial-projections"/>
    <w:p>
      <w:pPr>
        <w:pStyle w:val="Heading2"/>
      </w:pPr>
      <w:r>
        <w:t xml:space="preserve">Action Plan &amp; Financial Projections</w:t>
      </w:r>
    </w:p>
    <w:p>
      <w:pPr>
        <w:pStyle w:val="FirstParagraph"/>
      </w:pPr>
      <w:r>
        <w:t xml:space="preserve">Based on this Sales Report, we recommend immediate implementation of Nairobi-specific initiatives:</w:t>
      </w:r>
    </w:p>
    <w:p>
      <w:pPr>
        <w:numPr>
          <w:ilvl w:val="0"/>
          <w:numId w:val="1005"/>
        </w:numPr>
        <w:pStyle w:val="Compact"/>
      </w:pPr>
      <w:r>
        <w:rPr>
          <w:bCs/>
          <w:b/>
        </w:rPr>
        <w:t xml:space="preserve">Q4 2023 Target:</w:t>
      </w:r>
      <w:r>
        <w:t xml:space="preserve"> </w:t>
      </w:r>
      <w:r>
        <w:t xml:space="preserve">Achieve 15% digital growth through corporate "Economist Executive Briefing" sessions (30+ events planned in Nairobi offices)</w:t>
      </w:r>
    </w:p>
    <w:p>
      <w:pPr>
        <w:numPr>
          <w:ilvl w:val="0"/>
          <w:numId w:val="1005"/>
        </w:numPr>
        <w:pStyle w:val="Compact"/>
      </w:pPr>
      <w:r>
        <w:rPr>
          <w:bCs/>
          <w:b/>
        </w:rPr>
        <w:t xml:space="preserve">Digital Pricing Strategy:</w:t>
      </w:r>
      <w:r>
        <w:t xml:space="preserve"> </w:t>
      </w:r>
      <w:r>
        <w:t xml:space="preserve">Introduce a "Kenya Digital Bundle" (The Economist + Country Risk Reports) at $48/month – projected to increase conversion by 22% among Nairobi businesses</w:t>
      </w:r>
    </w:p>
    <w:p>
      <w:pPr>
        <w:numPr>
          <w:ilvl w:val="0"/>
          <w:numId w:val="1005"/>
        </w:numPr>
        <w:pStyle w:val="Compact"/>
      </w:pPr>
      <w:r>
        <w:rPr>
          <w:bCs/>
          <w:b/>
        </w:rPr>
        <w:t xml:space="preserve">Content Localization:</w:t>
      </w:r>
      <w:r>
        <w:t xml:space="preserve"> </w:t>
      </w:r>
      <w:r>
        <w:t xml:space="preserve">Launch three Nairobi-focused quarterly supplements: "Nairobi Economic Pulse," "Kenya Policy Watch," and "East Africa Investment Guide"</w:t>
      </w:r>
    </w:p>
    <w:p>
      <w:pPr>
        <w:pStyle w:val="FirstParagraph"/>
      </w:pPr>
      <w:r>
        <w:t xml:space="preserve">The projected financial impact for Kenya Nairobi under this strategy is $315,000 in incremental revenue by Q2 2024, representing a 29% increase from current performance. This positions The Economist to capture 45% of Nairobi's premium business publication market within 18 months.</w:t>
      </w:r>
    </w:p>
    <w:bookmarkEnd w:id="25"/>
    <w:bookmarkStart w:id="26" w:name="Xb21110f2e7ff156ce92cd42b1fbf5831db10708"/>
    <w:p>
      <w:pPr>
        <w:pStyle w:val="Heading2"/>
      </w:pPr>
      <w:r>
        <w:t xml:space="preserve">Conclusion: The Economist's Nairobi Imperative</w:t>
      </w:r>
    </w:p>
    <w:p>
      <w:pPr>
        <w:pStyle w:val="FirstParagraph"/>
      </w:pPr>
      <w:r>
        <w:t xml:space="preserve">This Sales Report confirms that Kenya Nairobi remains the cornerstone of The Economist's African strategy. As the city drives East Africa's $390B economy, our publication serves as an essential intelligence tool for navigating Kenya's complex landscape of infrastructure development, climate finance initiatives, and regional trade agreements. The 12% sales growth in Q3 demonstrates that despite global economic uncertainty, Nairobi businesses recognize The Economist's unmatched value in decision-making.</w:t>
      </w:r>
    </w:p>
    <w:p>
      <w:pPr>
        <w:pStyle w:val="BodyText"/>
      </w:pPr>
      <w:r>
        <w:t xml:space="preserve">Our success hinges on doubling down on Nairobi-specific engagement – transforming our digital platform into the de facto knowledge hub for Kenya's business ecosystem. This Sales Report underscores that strategic investment in the Kenya Nairobi market isn't merely an operational priority; it's a fundamental requirement for maintaining The Economist's leadership position in Africa. As one of our top corporate subscribers (a multinational bank CEO) recently stated: "The Economist is the only publication that understands how Kenya fits into global markets – that's why we subscribe for every executive."</w:t>
      </w:r>
    </w:p>
    <w:p>
      <w:pPr>
        <w:pStyle w:val="BodyText"/>
      </w:pPr>
      <w:r>
        <w:t xml:space="preserve">In closing, this Sales Report reaffirms Nairobi as The Economist's most strategic market in Africa. By executing our tailored strategy, we will convert current growth momentum into sustainable market dominance within Kenya's capital city and beyond.</w:t>
      </w:r>
    </w:p>
    <w:p>
      <w:r>
        <w:pict>
          <v:rect style="width:0;height:1.5pt" o:hralign="center" o:hrstd="t" o:hr="t"/>
        </w:pict>
      </w:r>
    </w:p>
    <w:p>
      <w:pPr>
        <w:pStyle w:val="FirstParagraph"/>
      </w:pPr>
      <w:r>
        <w:rPr>
          <w:bCs/>
          <w:b/>
        </w:rPr>
        <w:t xml:space="preserve">Prepared for:</w:t>
      </w:r>
      <w:r>
        <w:t xml:space="preserve"> </w:t>
      </w:r>
      <w:r>
        <w:t xml:space="preserve">The Economist International Sales Leadership</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r>
        <w:br/>
      </w:r>
      <w:r>
        <w:rPr>
          <w:iCs/>
          <w:i/>
        </w:rPr>
        <w:t xml:space="preserve">This Sales Report is confidential and intended solely for internal use by The Economist sales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Kenya Nairobi Market Analysis</dc:title>
  <dc:creator/>
  <dc:language>en</dc:language>
  <cp:keywords/>
  <dcterms:created xsi:type="dcterms:W3CDTF">2025-12-13T09:48:36Z</dcterms:created>
  <dcterms:modified xsi:type="dcterms:W3CDTF">2025-12-13T09:48:36Z</dcterms:modified>
</cp:coreProperties>
</file>

<file path=docProps/custom.xml><?xml version="1.0" encoding="utf-8"?>
<Properties xmlns="http://schemas.openxmlformats.org/officeDocument/2006/custom-properties" xmlns:vt="http://schemas.openxmlformats.org/officeDocument/2006/docPropsVTypes"/>
</file>