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Economist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8" w:name="X79908c04d45e38cb8c49a9ce7e733dcc398fbc6"/>
    <w:p>
      <w:pPr>
        <w:pStyle w:val="Heading1"/>
      </w:pPr>
      <w:r>
        <w:t xml:space="preserve">Official Sales Report: The Economist Subscription Performance in Malaysia Kuala Lumpur (Q3 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The Economist Global Executive Team</w:t>
      </w:r>
      <w:r>
        <w:br/>
      </w:r>
      <w:r>
        <w:rPr>
          <w:bCs/>
          <w:b/>
        </w:rPr>
        <w:t xml:space="preserve">Region Covered:</w:t>
      </w:r>
      <w:r>
        <w:t xml:space="preserve"> </w:t>
      </w:r>
      <w:r>
        <w:t xml:space="preserve">Malaysia - Kuala Lumpur Metropolitan Area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subscription services across the vital market of Kuala Lumpur, Malaysia. As Southeast Asia's financial and business hub, KL represents a strategic cornerstone for our regional expansion. Our Q3 2023 results demonstrate robust growth in digital subscriptions (+18.7% YoY) and significant market share gains among corporate clients within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's elite business community. This report confirms that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continues to be the preferred analytical resource for decision-makers navigating Malaysia's evolving economic landscape.</w:t>
      </w:r>
    </w:p>
    <w:bookmarkEnd w:id="20"/>
    <w:bookmarkStart w:id="21" w:name="X0d97dc0c087787b3fea8161dffc9c4368638af6"/>
    <w:p>
      <w:pPr>
        <w:pStyle w:val="Heading2"/>
      </w:pPr>
      <w:r>
        <w:t xml:space="preserve">II. Market Context: Why Kuala Lumpur Matters for The Economist</w:t>
      </w:r>
    </w:p>
    <w:p>
      <w:pPr>
        <w:pStyle w:val="FirstParagraph"/>
      </w:pPr>
      <w:r>
        <w:t xml:space="preserve">Kuala Lumpur is not merely another city in our global portfolio – it's the pulsating heart of Malaysia's economy and a critical gateway to ASEAN markets. With over 78% of Malaysia's Fortune 500 companies headquartered here, KL offers unparalleled access to C-suite executives, government policymakers, and international business leaders who demand high-caliber geopolitical and economic intelligence. The Economist's unique value proposition – combining deep analytical depth with global perspective – resonates powerfully with KL's dynamic business ecosystem. This Sales Report confirms that our Malaysia Kuala Lumpur strategy is delivering exceptional ROI.</w:t>
      </w:r>
    </w:p>
    <w:bookmarkEnd w:id="21"/>
    <w:bookmarkStart w:id="22" w:name="X5353dac6171081f648e81cf14e8cb1295896a9e"/>
    <w:p>
      <w:pPr>
        <w:pStyle w:val="Heading2"/>
      </w:pPr>
      <w:r>
        <w:t xml:space="preserve">III. Q3 2023 Subscription Performance Highlights</w:t>
      </w:r>
    </w:p>
    <w:p>
      <w:pPr>
        <w:pStyle w:val="FirstParagraph"/>
      </w:pPr>
      <w:r>
        <w:t xml:space="preserve">Subscription Tier</w:t>
      </w:r>
    </w:p>
    <w:p>
      <w:pPr>
        <w:pStyle w:val="BodyText"/>
      </w:pPr>
      <w:r>
        <w:t xml:space="preserve">Q3 2023 Units Sold (KL)</w:t>
      </w:r>
    </w:p>
    <w:p>
      <w:pPr>
        <w:pStyle w:val="BodyText"/>
      </w:pPr>
      <w:r>
        <w:t xml:space="preserve">% Growth vs Q2 2023</w:t>
      </w:r>
    </w:p>
    <w:p>
      <w:pPr>
        <w:pStyle w:val="BodyText"/>
      </w:pPr>
      <w:r>
        <w:t xml:space="preserve">% Growth vs Q3 2022</w:t>
      </w:r>
    </w:p>
    <w:p>
      <w:pPr>
        <w:pStyle w:val="BodyText"/>
      </w:pPr>
      <w:r>
        <w:t xml:space="preserve">Standard Digital Subscription</w:t>
      </w:r>
    </w:p>
    <w:p>
      <w:pPr>
        <w:pStyle w:val="BodyText"/>
      </w:pPr>
      <w:r>
        <w:t xml:space="preserve">1,487</w:t>
      </w:r>
    </w:p>
    <w:p>
      <w:pPr>
        <w:pStyle w:val="BodyText"/>
      </w:pPr>
      <w:r>
        <w:t xml:space="preserve">+15.3%</w:t>
      </w:r>
    </w:p>
    <w:p>
      <w:pPr>
        <w:pStyle w:val="BodyText"/>
      </w:pPr>
      <w:r>
        <w:t xml:space="preserve">+22.1%</w:t>
      </w:r>
    </w:p>
    <w:p>
      <w:pPr>
        <w:pStyle w:val="BodyText"/>
      </w:pPr>
      <w:r>
        <w:t xml:space="preserve">Total Corporate Accounts (KL)</w:t>
      </w:r>
    </w:p>
    <w:p>
      <w:pPr>
        <w:pStyle w:val="BodyText"/>
      </w:pPr>
      <w:r>
        <w:t xml:space="preserve">89</w:t>
      </w:r>
    </w:p>
    <w:p>
      <w:pPr>
        <w:pStyle w:val="BodyText"/>
      </w:pPr>
      <w:r>
        <w:t xml:space="preserve">+9.4%</w:t>
      </w:r>
    </w:p>
    <w:p>
      <w:pPr>
        <w:pStyle w:val="BodyText"/>
      </w:pPr>
      <w:r>
        <w:t xml:space="preserve">+37.6%</w:t>
      </w:r>
    </w:p>
    <w:p>
      <w:pPr>
        <w:pStyle w:val="BodyText"/>
      </w:pPr>
      <w:r>
        <w:rPr>
          <w:iCs/>
          <w:i/>
        </w:rPr>
        <w:t xml:space="preserve">The Economist</w:t>
      </w:r>
      <w:r>
        <w:t xml:space="preserve"> </w:t>
      </w:r>
      <w:r>
        <w:t xml:space="preserve">Premium for Business Leaders</w:t>
      </w:r>
    </w:p>
    <w:p>
      <w:pPr>
        <w:pStyle w:val="BodyText"/>
      </w:pPr>
      <w:r>
        <w:t xml:space="preserve">215</w:t>
      </w:r>
    </w:p>
    <w:p>
      <w:pPr>
        <w:pStyle w:val="BodyText"/>
      </w:pPr>
      <w:r>
        <w:t xml:space="preserve">+31.2%</w:t>
      </w:r>
    </w:p>
    <w:p>
      <w:pPr>
        <w:pStyle w:val="BodyText"/>
      </w:pPr>
      <w:r>
        <w:t xml:space="preserve">+48.9%</w:t>
      </w:r>
    </w:p>
    <w:p>
      <w:pPr>
        <w:pStyle w:val="BodyText"/>
      </w:pPr>
      <w:r>
        <w:t xml:space="preserve">Key Insight: Corporate subscriptions – particularly the premium tier for business leaders – drove 64% of total revenue growth in Kuala Lumpur during Q3. This directly correlates with increased demand for strategic insights on Malaysia's digital economy transformation and ASEAN trade policy shifts.</w:t>
      </w:r>
    </w:p>
    <w:bookmarkEnd w:id="22"/>
    <w:bookmarkStart w:id="23" w:name="X91684bfb27bb60692d171d571514d1cb0262eb4"/>
    <w:p>
      <w:pPr>
        <w:pStyle w:val="Heading2"/>
      </w:pPr>
      <w:r>
        <w:t xml:space="preserve">IV. Strategic Insights from Malaysia Kuala Lumpur Market</w:t>
      </w:r>
    </w:p>
    <w:p>
      <w:pPr>
        <w:pStyle w:val="FirstParagraph"/>
      </w:pPr>
      <w:r>
        <w:t xml:space="preserve">Our Sales Report identifies three critical trends specific to the KL market: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Engagement Surge:</w:t>
      </w:r>
      <w:r>
        <w:t xml:space="preserve"> </w:t>
      </w:r>
      <w:r>
        <w:t xml:space="preserve">32% of new subscriptions in Q3 originated from Malaysian government agencies (including Ministry of Finance and Central Bank). This reflects heightened demand for non-partisan economic analysis as Malaysia navigates its National Energy Transition roadmap.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Digital-First Consumption:</w:t>
      </w:r>
      <w:r>
        <w:t xml:space="preserve"> </w:t>
      </w:r>
      <w:r>
        <w:t xml:space="preserve">89% of Kuala Lumpur subscribers now access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exclusively via mobile apps, with peak engagement occurring during KL's business hours (7:30-10:00 AM GMT+8). This necessitates our ongoing app optimization for Southeast Asian users.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The "Asia Focus" edition (with Malaysia-specific analysis) consistently outperforms global editions by 27% in KL, proving that localized content is non-negotiable for our Malaysia Kuala Lumpur strategy.</w:t>
      </w:r>
    </w:p>
    <w:bookmarkEnd w:id="23"/>
    <w:bookmarkStart w:id="24" w:name="v.-competitive-landscape-analysis"/>
    <w:p>
      <w:pPr>
        <w:pStyle w:val="Heading2"/>
      </w:pPr>
      <w:r>
        <w:t xml:space="preserve">V. Competitive Landscape Analysis</w:t>
      </w:r>
    </w:p>
    <w:p>
      <w:pPr>
        <w:pStyle w:val="FirstParagraph"/>
      </w:pPr>
      <w:r>
        <w:t xml:space="preserve">In the competitive media environment of Kuala Lumpur, we maintain a decisive advantage: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Perceived Expertise:</w:t>
      </w:r>
      <w:r>
        <w:t xml:space="preserve"> </w:t>
      </w:r>
      <w:r>
        <w:t xml:space="preserve">78% of KL subscribers cite "unique depth on ASEAN economics" as their primary reason for choosing The Economist over competitors like Bloomberg or Reuters.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Trust Factor:</w:t>
      </w:r>
      <w:r>
        <w:t xml:space="preserve"> </w:t>
      </w:r>
      <w:r>
        <w:t xml:space="preserve">Our independence from commercial interests is rated #1 by KL business leaders in our quarterly trust survey – critical for Malaysia's sensitive political economy discussions.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Network Effects:</w:t>
      </w:r>
      <w:r>
        <w:t xml:space="preserve"> </w:t>
      </w:r>
      <w:r>
        <w:t xml:space="preserve">41% of new subscriptions come through existing corporate networks, highlighting The Economist's status as the de facto knowledge hub in Malaysia Kuala Lumpur.</w:t>
      </w:r>
    </w:p>
    <w:bookmarkEnd w:id="24"/>
    <w:bookmarkStart w:id="25" w:name="vi.-challenges-and-strategic-response"/>
    <w:p>
      <w:pPr>
        <w:pStyle w:val="Heading2"/>
      </w:pPr>
      <w:r>
        <w:t xml:space="preserve">VI. Challenges and Strategic Response</w:t>
      </w:r>
    </w:p>
    <w:p>
      <w:pPr>
        <w:pStyle w:val="FirstParagraph"/>
      </w:pPr>
      <w:r>
        <w:t xml:space="preserve">This Sales Report acknowledges two emerging challenges specific to Malaysia Kuala Lumpur:</w:t>
      </w:r>
    </w:p>
    <w:p>
      <w:pPr>
        <w:pStyle w:val="BodyText"/>
      </w:pPr>
      <w:r>
        <w:rPr>
          <w:bCs/>
          <w:b/>
        </w:rPr>
        <w:t xml:space="preserve">Challenge 1: Rising Local Competition</w:t>
      </w:r>
      <w:r>
        <w:br/>
      </w:r>
      <w:r>
        <w:t xml:space="preserve">New regional publications offering "ASEAN-focused" content have increased by 35% in KL this year. Our response: Launched the</w:t>
      </w:r>
      <w:r>
        <w:t xml:space="preserve"> </w:t>
      </w:r>
      <w:r>
        <w:rPr>
          <w:iCs/>
          <w:i/>
        </w:rPr>
        <w:t xml:space="preserve">Economist Malaysia Briefing</w:t>
      </w:r>
      <w:r>
        <w:t xml:space="preserve"> </w:t>
      </w:r>
      <w:r>
        <w:t xml:space="preserve">– a bi-weekly curated digest of local economic data exclusive to KL subscribers, driving 22% higher retention.</w:t>
      </w:r>
    </w:p>
    <w:p>
      <w:pPr>
        <w:pStyle w:val="BodyText"/>
      </w:pPr>
      <w:r>
        <w:rPr>
          <w:bCs/>
          <w:b/>
        </w:rPr>
        <w:t xml:space="preserve">Challenge 2: Payment Method Fragmentation</w:t>
      </w:r>
      <w:r>
        <w:br/>
      </w:r>
      <w:r>
        <w:t xml:space="preserve">While credit cards remain dominant (68%), mobile wallet usage (Touch 'n Go, GrabPay) grew by 150% in KL. Our response: Integrated local payment gateways with a streamlined subscription flow – reducing checkout abandonment by 33%.</w:t>
      </w:r>
    </w:p>
    <w:bookmarkEnd w:id="25"/>
    <w:bookmarkStart w:id="26" w:name="X4ae22df013e69b05c888b03b24390d77d0d3f78"/>
    <w:p>
      <w:pPr>
        <w:pStyle w:val="Heading2"/>
      </w:pPr>
      <w:r>
        <w:t xml:space="preserve">VII. Growth Strategy for Malaysia Kuala Lumpur</w:t>
      </w:r>
    </w:p>
    <w:p>
      <w:pPr>
        <w:pStyle w:val="FirstParagraph"/>
      </w:pPr>
      <w:r>
        <w:t xml:space="preserve">Building on our Q3 success, our Sales Report recommends three priority initiatives for the KL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Corporate Partnership Acceleration:</w:t>
      </w:r>
      <w:r>
        <w:t xml:space="preserve"> </w:t>
      </w:r>
      <w:r>
        <w:t xml:space="preserve">Targeting 15 new government and Fortune 500 company partnerships in Q4 through customized executive briefings. Current pipeline shows 8 signed agreements awaiting rollout.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KL Content Localization:</w:t>
      </w:r>
      <w:r>
        <w:t xml:space="preserve"> </w:t>
      </w:r>
      <w:r>
        <w:t xml:space="preserve">Developing a dedicated Malaysia section within our digital platform featuring daily analysis of Bursa Malaysia performance, FDI trends, and policy impacts – launching November 15th.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Elite Network Expansion:</w:t>
      </w:r>
      <w:r>
        <w:t xml:space="preserve"> </w:t>
      </w:r>
      <w:r>
        <w:t xml:space="preserve">Hosting quarterly "Economist KL Policy Forums" with central bank officials and industry leaders (first event: November 1st), directly targeting high-value corporate acquisition.</w:t>
      </w:r>
    </w:p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The data in this Sales Report unequivocally confirms that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has achieved market leadership status in Malaysia Kuala Lumpur's premium business intelligence segment. Our strategic focus on local relevance, digital-first delivery, and corporate relationship building has positioned us for sustained growth as Malaysia navigates its economic transformation journey. The KL market now contributes 12.4% of all Southeast Asian revenue – up from 9.8% in Q3 2022 – proving that our investment in this critical hub is yielding exceptional returns.</w:t>
      </w:r>
    </w:p>
    <w:p>
      <w:pPr>
        <w:pStyle w:val="BodyText"/>
      </w:pPr>
      <w:r>
        <w:t xml:space="preserve">As we enter the final quarter of 2023, we project sustained growth exceeding industry benchmarks for Malaysia Kuala Lumpur. This Sales Report serves as both a testament to our current success and a roadmap for dominating Southeast Asia's most influential business market. The Economist isn't just present in Kuala Lumpur – it's becoming indispensable to Malaysia's economic decision-making ecosystem.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Regional Sales Intelligence Team</w:t>
      </w:r>
      <w:r>
        <w:br/>
      </w:r>
      <w:r>
        <w:rPr>
          <w:bCs/>
          <w:b/>
        </w:rPr>
        <w:t xml:space="preserve">The Economist Group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Economist Sales Report: Malaysia Kuala Lumpur Market Analysis</dc:title>
  <dc:creator/>
  <dc:language>en</dc:language>
  <cp:keywords/>
  <dcterms:created xsi:type="dcterms:W3CDTF">2026-07-24T06:12:16Z</dcterms:created>
  <dcterms:modified xsi:type="dcterms:W3CDTF">2026-07-24T06:12:16Z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