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Mexico</w:t>
      </w:r>
      <w:r>
        <w:t xml:space="preserve"> </w:t>
      </w:r>
      <w:r>
        <w:t xml:space="preserve">City</w:t>
      </w:r>
    </w:p>
    <w:bookmarkStart w:id="27" w:name="X51bc1581a85a78dea7c13976377b579af89d345"/>
    <w:p>
      <w:pPr>
        <w:pStyle w:val="Heading1"/>
      </w:pPr>
      <w:r>
        <w:t xml:space="preserve">Sales Report: The Economist Performance Analysis for Mexico City Market</w:t>
      </w:r>
    </w:p>
    <w:p>
      <w:pPr>
        <w:pStyle w:val="FirstParagraph"/>
      </w:pPr>
      <w:r>
        <w:t xml:space="preserve">This comprehensive Sales Report examines the performance of</w:t>
      </w:r>
      <w:r>
        <w:t xml:space="preserve"> </w:t>
      </w:r>
      <w:r>
        <w:rPr>
          <w:iCs/>
          <w:i/>
        </w:rPr>
        <w:t xml:space="preserve">The Economist</w:t>
      </w:r>
      <w:r>
        <w:t xml:space="preserve"> </w:t>
      </w:r>
      <w:r>
        <w:t xml:space="preserve">publication across Mexico City, Mexico—a pivotal market representing one of Latin America's most dynamic economic hubs. As the premier global publication delivering in-depth analysis on international business, politics, and finance, The Economist has established significant traction in Mexico City's elite professional circles. This report details Q3 2023 sales metrics, market insights specific to Mexico City demographics, competitive positioning, and strategic recommendations for sustained growth in this critical territory.</w:t>
      </w:r>
    </w:p>
    <w:bookmarkStart w:id="20" w:name="executive-summary"/>
    <w:p>
      <w:pPr>
        <w:pStyle w:val="Heading2"/>
      </w:pPr>
      <w:r>
        <w:t xml:space="preserve">Executive Summary</w:t>
      </w:r>
    </w:p>
    <w:p>
      <w:pPr>
        <w:pStyle w:val="FirstParagraph"/>
      </w:pPr>
      <w:r>
        <w:t xml:space="preserve">The Economist's sales performance in Mexico City demonstrated robust growth during Q3 2023, with subscription revenue increasing by 18.7% year-over-year. This outpaced the overall Latin American market average of 11.2%, positioning Mexico City as our highest-performing metropolitan market in the region. The Sales Report attributes this success to strategic localization initiatives, expanded digital distribution channels, and heightened demand for credible economic intelligence amid Mexico's complex fiscal landscape. Notably, Mexico City accounts for 37% of all The Economist subscriptions in Mexico—a testament to its status as the nation's primary economic nerve center.</w:t>
      </w:r>
    </w:p>
    <w:bookmarkEnd w:id="20"/>
    <w:bookmarkStart w:id="21" w:name="key-sales-metrics-mexico-city-market"/>
    <w:p>
      <w:pPr>
        <w:pStyle w:val="Heading2"/>
      </w:pPr>
      <w:r>
        <w:t xml:space="preserve">Key Sales Metrics: Mexico City Market</w:t>
      </w:r>
    </w:p>
    <w:p>
      <w:pPr>
        <w:pStyle w:val="FirstParagraph"/>
      </w:pPr>
      <w:r>
        <w:t xml:space="preserve">Our Q3 Sales Report reveals the following critical metrics for The Economist in Mexico City:</w:t>
      </w:r>
    </w:p>
    <w:p>
      <w:pPr>
        <w:numPr>
          <w:ilvl w:val="0"/>
          <w:numId w:val="1001"/>
        </w:numPr>
        <w:pStyle w:val="Compact"/>
      </w:pPr>
      <w:r>
        <w:rPr>
          <w:bCs/>
          <w:b/>
        </w:rPr>
        <w:t xml:space="preserve">Digital Subscriptions:</w:t>
      </w:r>
      <w:r>
        <w:t xml:space="preserve"> </w:t>
      </w:r>
      <w:r>
        <w:t xml:space="preserve">42% growth (vs. Q3 2022), now representing 68% of total Mexico City revenue</w:t>
      </w:r>
    </w:p>
    <w:p>
      <w:pPr>
        <w:numPr>
          <w:ilvl w:val="0"/>
          <w:numId w:val="1001"/>
        </w:numPr>
        <w:pStyle w:val="Compact"/>
      </w:pPr>
      <w:r>
        <w:rPr>
          <w:bCs/>
          <w:b/>
        </w:rPr>
        <w:t xml:space="preserve">Print Subscriptions:</w:t>
      </w:r>
      <w:r>
        <w:t xml:space="preserve"> </w:t>
      </w:r>
      <w:r>
        <w:t xml:space="preserve">Steady at 31% of revenue, with premium print editions driving high-value customer acquisition</w:t>
      </w:r>
    </w:p>
    <w:p>
      <w:pPr>
        <w:numPr>
          <w:ilvl w:val="0"/>
          <w:numId w:val="1001"/>
        </w:numPr>
        <w:pStyle w:val="Compact"/>
      </w:pPr>
      <w:r>
        <w:rPr>
          <w:bCs/>
          <w:b/>
        </w:rPr>
        <w:t xml:space="preserve">New Subscribers:</w:t>
      </w:r>
      <w:r>
        <w:t xml:space="preserve"> </w:t>
      </w:r>
      <w:r>
        <w:t xml:space="preserve">2,450 net additions (vs. 1,890 in Q3 2022), driven by corporate partnerships</w:t>
      </w:r>
    </w:p>
    <w:bookmarkEnd w:id="21"/>
    <w:bookmarkStart w:id="22" w:name="market-analysis-why-mexico-city"/>
    <w:p>
      <w:pPr>
        <w:pStyle w:val="Heading2"/>
      </w:pPr>
      <w:r>
        <w:t xml:space="preserve">Market Analysis: Why Mexico City?*</w:t>
      </w:r>
    </w:p>
    <w:p>
      <w:pPr>
        <w:pStyle w:val="FirstParagraph"/>
      </w:pPr>
      <w:r>
        <w:t xml:space="preserve">Mexico City's unique economic ecosystem makes it indispensable for The Economist's strategic footprint. As the nation's financial capital housing 35% of Mexico's Fortune 500 companies and home to the largest concentration of international business executives in Latin America, this market demands sophisticated economic analysis. The Sales Report identifies three critical factors driving performance:</w:t>
      </w:r>
    </w:p>
    <w:p>
      <w:pPr>
        <w:numPr>
          <w:ilvl w:val="0"/>
          <w:numId w:val="1002"/>
        </w:numPr>
        <w:pStyle w:val="Compact"/>
      </w:pPr>
      <w:r>
        <w:rPr>
          <w:bCs/>
          <w:b/>
        </w:rPr>
        <w:t xml:space="preserve">Policy Sensitivity:</w:t>
      </w:r>
      <w:r>
        <w:t xml:space="preserve"> </w:t>
      </w:r>
      <w:r>
        <w:t xml:space="preserve">Mexico City-based decision-makers require real-time insights on NAFTA renegotiations, energy sector reforms (e.g., Pemex modernization), and inflation control measures—content core to The Economist's editorial focus.</w:t>
      </w:r>
    </w:p>
    <w:p>
      <w:pPr>
        <w:numPr>
          <w:ilvl w:val="0"/>
          <w:numId w:val="1002"/>
        </w:numPr>
        <w:pStyle w:val="Compact"/>
      </w:pPr>
      <w:r>
        <w:rPr>
          <w:bCs/>
          <w:b/>
        </w:rPr>
        <w:t xml:space="preserve">Digital Adoption:</w:t>
      </w:r>
      <w:r>
        <w:t xml:space="preserve"> </w:t>
      </w:r>
      <w:r>
        <w:t xml:space="preserve">With 92% smartphone penetration in Mexico City (vs. 74% national average), digital subscriptions align perfectly with local consumption habits. The Economist's mobile-optimized platform saw a 53% surge in usage among Mexico City users during Q3.</w:t>
      </w:r>
    </w:p>
    <w:p>
      <w:pPr>
        <w:numPr>
          <w:ilvl w:val="0"/>
          <w:numId w:val="1002"/>
        </w:numPr>
        <w:pStyle w:val="Compact"/>
      </w:pPr>
      <w:r>
        <w:rPr>
          <w:bCs/>
          <w:b/>
        </w:rPr>
        <w:t xml:space="preserve">Premiumization Trend:</w:t>
      </w:r>
      <w:r>
        <w:t xml:space="preserve"> </w:t>
      </w:r>
      <w:r>
        <w:t xml:space="preserve">High-net-worth individuals and C-suite executives in Mexico City increasingly invest in premium publications, viewing The Economist as essential for competitive advantage. This is reflected in our 29% year-on-year increase in premium digital package sales (&gt;$100/month).</w:t>
      </w:r>
    </w:p>
    <w:bookmarkEnd w:id="22"/>
    <w:bookmarkStart w:id="23" w:name="competitive-landscape-assessment"/>
    <w:p>
      <w:pPr>
        <w:pStyle w:val="Heading2"/>
      </w:pPr>
      <w:r>
        <w:t xml:space="preserve">Competitive Landscape Assessment</w:t>
      </w:r>
    </w:p>
    <w:p>
      <w:pPr>
        <w:pStyle w:val="FirstParagraph"/>
      </w:pPr>
      <w:r>
        <w:t xml:space="preserve">The Sales Report confirms Mexico City's media landscape remains highly competitive, yet The Economist holds distinct advantages:</w:t>
      </w:r>
    </w:p>
    <w:p>
      <w:pPr>
        <w:pStyle w:val="BodyText"/>
      </w:pPr>
      <w:r>
        <w:t xml:space="preserve">Competitor</w:t>
      </w:r>
    </w:p>
    <w:p>
      <w:pPr>
        <w:pStyle w:val="BodyText"/>
      </w:pPr>
      <w:r>
        <w:t xml:space="preserve">Mexico City Market Share</w:t>
      </w:r>
    </w:p>
    <w:p>
      <w:pPr>
        <w:pStyle w:val="BodyText"/>
      </w:pPr>
      <w:r>
        <w:t xml:space="preserve">The Economist's Competitive Edge</w:t>
      </w:r>
    </w:p>
    <w:p>
      <w:pPr>
        <w:pStyle w:val="BodyText"/>
      </w:pPr>
      <w:r>
        <w:t xml:space="preserve">Reforma (Print/Digital)</w:t>
      </w:r>
    </w:p>
    <w:p>
      <w:pPr>
        <w:pStyle w:val="BodyText"/>
      </w:pPr>
      <w:r>
        <w:t xml:space="preserve">28%</w:t>
      </w:r>
    </w:p>
    <w:p>
      <w:pPr>
        <w:pStyle w:val="BodyText"/>
      </w:pPr>
      <w:r>
        <w:t xml:space="preserve">National scope + global perspective; deeper policy analysis</w:t>
      </w:r>
    </w:p>
    <w:p>
      <w:pPr>
        <w:pStyle w:val="BodyText"/>
      </w:pPr>
      <w:r>
        <w:t xml:space="preserve">CNN en Español</w:t>
      </w:r>
    </w:p>
    <w:p>
      <w:pPr>
        <w:pStyle w:val="BodyText"/>
      </w:pPr>
      <w:r>
        <w:t xml:space="preserve">19%</w:t>
      </w:r>
    </w:p>
    <w:p>
      <w:pPr>
        <w:pStyle w:val="BodyText"/>
      </w:pPr>
      <w:r>
        <w:t xml:space="preserve">&lt;</w:t>
      </w:r>
    </w:p>
    <w:p>
      <w:pPr>
        <w:pStyle w:val="BodyText"/>
      </w:pPr>
      <w:r>
        <w:t xml:space="preserve">Premium journalism vs. news aggregation; subscription model ensures quality content</w:t>
      </w:r>
    </w:p>
    <w:p>
      <w:pPr>
        <w:pStyle w:val="BodyText"/>
      </w:pPr>
      <w:r>
        <w:t xml:space="preserve">El Universal (Digital)</w:t>
      </w:r>
    </w:p>
    <w:p>
      <w:pPr>
        <w:pStyle w:val="BodyText"/>
      </w:pPr>
      <w:r>
        <w:t xml:space="preserve">22%</w:t>
      </w:r>
    </w:p>
    <w:p>
      <w:pPr>
        <w:pStyle w:val="BodyText"/>
      </w:pPr>
      <w:r>
        <w:rPr>
          <w:bCs/>
          <w:b/>
        </w:rPr>
        <w:t xml:space="preserve">The Economist's Edge:</w:t>
      </w:r>
      <w:r>
        <w:t xml:space="preserve"> </w:t>
      </w:r>
      <w:r>
        <w:t xml:space="preserve">Exclusive interviews with global leaders + data-driven economic forecasting</w:t>
      </w:r>
    </w:p>
    <w:bookmarkEnd w:id="23"/>
    <w:bookmarkStart w:id="24" w:name="challenges-in-mexico-city-market"/>
    <w:p>
      <w:pPr>
        <w:pStyle w:val="Heading2"/>
      </w:pPr>
      <w:r>
        <w:t xml:space="preserve">Challenges in Mexico City Market</w:t>
      </w:r>
    </w:p>
    <w:p>
      <w:pPr>
        <w:pStyle w:val="FirstParagraph"/>
      </w:pPr>
      <w:r>
        <w:t xml:space="preserve">This Sales Report identifies two primary challenges requiring immediate attention:</w:t>
      </w:r>
    </w:p>
    <w:p>
      <w:pPr>
        <w:numPr>
          <w:ilvl w:val="0"/>
          <w:numId w:val="1003"/>
        </w:numPr>
        <w:pStyle w:val="Compact"/>
      </w:pPr>
      <w:r>
        <w:rPr>
          <w:bCs/>
          <w:b/>
        </w:rPr>
        <w:t xml:space="preserve">Currency Volatility:</w:t>
      </w:r>
      <w:r>
        <w:t xml:space="preserve"> </w:t>
      </w:r>
      <w:r>
        <w:t xml:space="preserve">The Mexican Peso's 10.3% depreciation against USD in Q3 increased subscription costs for local customers by 8.7%, triggering a temporary 5% churn rate. Our Mexico City sales team implemented peso-denominated payment options to mitigate this.</w:t>
      </w:r>
    </w:p>
    <w:p>
      <w:pPr>
        <w:numPr>
          <w:ilvl w:val="0"/>
          <w:numId w:val="1003"/>
        </w:numPr>
        <w:pStyle w:val="Compact"/>
      </w:pPr>
      <w:r>
        <w:rPr>
          <w:bCs/>
          <w:b/>
        </w:rPr>
        <w:t xml:space="preserve">Content Localization Gaps:</w:t>
      </w:r>
      <w:r>
        <w:t xml:space="preserve"> </w:t>
      </w:r>
      <w:r>
        <w:t xml:space="preserve">While The Economist's global coverage is strong, Mexican clients requested more region-specific analysis on topics like the USMCA's impact on SMEs and Mexico's renewable energy transition. The Sales Report recommends allocating 25% of regional editorial content to Mexico City-focused insights.</w:t>
      </w:r>
    </w:p>
    <w:bookmarkEnd w:id="24"/>
    <w:bookmarkStart w:id="25" w:name="strategic-recommendations"/>
    <w:p>
      <w:pPr>
        <w:pStyle w:val="Heading2"/>
      </w:pPr>
      <w:r>
        <w:t xml:space="preserve">Strategic Recommendations</w:t>
      </w:r>
    </w:p>
    <w:p>
      <w:pPr>
        <w:pStyle w:val="FirstParagraph"/>
      </w:pPr>
      <w:r>
        <w:t xml:space="preserve">Based on this Sales Report, we propose three actionable initiatives for Mexico City:</w:t>
      </w:r>
    </w:p>
    <w:p>
      <w:pPr>
        <w:numPr>
          <w:ilvl w:val="0"/>
          <w:numId w:val="1004"/>
        </w:numPr>
        <w:pStyle w:val="Compact"/>
      </w:pPr>
      <w:r>
        <w:rPr>
          <w:bCs/>
          <w:b/>
        </w:rPr>
        <w:t xml:space="preserve">Launch "Mexico City Economic Pulse" Subscription Tier:</w:t>
      </w:r>
      <w:r>
        <w:t xml:space="preserve"> </w:t>
      </w:r>
      <w:r>
        <w:t xml:space="preserve">A specialized digital package featuring daily briefings on local policy shifts, exclusive interviews with AMLO administration officials, and sector-specific reports (e.g., automotive manufacturing in CDMX). Projected to generate $185K annual revenue from 1,200 subscribers.</w:t>
      </w:r>
    </w:p>
    <w:p>
      <w:pPr>
        <w:numPr>
          <w:ilvl w:val="0"/>
          <w:numId w:val="1004"/>
        </w:numPr>
        <w:pStyle w:val="Compact"/>
      </w:pPr>
      <w:r>
        <w:rPr>
          <w:bCs/>
          <w:b/>
        </w:rPr>
        <w:t xml:space="preserve">Corporate Partnership Expansion:</w:t>
      </w:r>
      <w:r>
        <w:t xml:space="preserve"> </w:t>
      </w:r>
      <w:r>
        <w:t xml:space="preserve">Target Mexico City-based multinational headquarters for bulk subscriptions. Current partnerships cover 37% of Fortune 500 companies in Mexico City—aim to increase this to 65% within 18 months through dedicated sales teams.</w:t>
      </w:r>
    </w:p>
    <w:p>
      <w:pPr>
        <w:numPr>
          <w:ilvl w:val="0"/>
          <w:numId w:val="1004"/>
        </w:numPr>
        <w:pStyle w:val="Compact"/>
      </w:pPr>
      <w:r>
        <w:rPr>
          <w:bCs/>
          <w:b/>
        </w:rPr>
        <w:t xml:space="preserve">Social Media Localization Campaign:</w:t>
      </w:r>
      <w:r>
        <w:t xml:space="preserve"> </w:t>
      </w:r>
      <w:r>
        <w:t xml:space="preserve">Develop Spanish-language LinkedIn and WhatsApp content hubs tailored to Mexico City professionals. The Sales Report indicates that 73% of target customers discover new publications via professional networks in CDMX.</w:t>
      </w:r>
    </w:p>
    <w:bookmarkEnd w:id="25"/>
    <w:bookmarkStart w:id="26" w:name="conclusion"/>
    <w:p>
      <w:pPr>
        <w:pStyle w:val="Heading2"/>
      </w:pPr>
      <w:r>
        <w:t xml:space="preserve">Conclusion</w:t>
      </w:r>
    </w:p>
    <w:p>
      <w:pPr>
        <w:pStyle w:val="FirstParagraph"/>
      </w:pPr>
      <w:r>
        <w:t xml:space="preserve">This Sales Report confirms that Mexico City remains The Economist's most valuable market in Latin America. The intersection of economic complexity, digital sophistication, and high demand for global intelligence has positioned us uniquely within Mexico Mexico City's professional ecosystem. While challenges like currency fluctuations require ongoing management, our 18.7% Q3 growth demonstrates clear market validation.</w:t>
      </w:r>
    </w:p>
    <w:p>
      <w:pPr>
        <w:pStyle w:val="BodyText"/>
      </w:pPr>
      <w:r>
        <w:t xml:space="preserve">Looking ahead, The Economist must deepen its commitment to Mexico City through hyper-localized content and strategic corporate engagement. As the Sales Report concludes, "Mexico City isn't just a market—it's the economic engine of a nation navigating unprecedented transformation. Our success here directly fuels our global mission." This report serves as both a performance benchmark and roadmap for securing The Economist's leadership position in one of the world's most consequential business capitals.</w:t>
      </w:r>
    </w:p>
    <w:p>
      <w:pPr>
        <w:pStyle w:val="BodyText"/>
      </w:pPr>
      <w:r>
        <w:rPr>
          <w:bCs/>
          <w:b/>
        </w:rPr>
        <w:t xml:space="preserve">Prepared For:</w:t>
      </w:r>
      <w:r>
        <w:t xml:space="preserve"> </w:t>
      </w:r>
      <w:r>
        <w:t xml:space="preserve">Global Sales Leadership, The Economist Group</w:t>
      </w:r>
    </w:p>
    <w:p>
      <w:pPr>
        <w:pStyle w:val="BodyText"/>
      </w:pPr>
      <w:r>
        <w:rPr>
          <w:bCs/>
          <w:b/>
        </w:rPr>
        <w:t xml:space="preserve">Report Period:</w:t>
      </w:r>
      <w:r>
        <w:t xml:space="preserve"> </w:t>
      </w:r>
      <w:r>
        <w:t xml:space="preserve">Q3 2023 (July 1 – September 30, 2023)</w:t>
      </w:r>
    </w:p>
    <w:p>
      <w:pPr>
        <w:pStyle w:val="BodyText"/>
      </w:pPr>
      <w:r>
        <w:rPr>
          <w:iCs/>
          <w:i/>
        </w:rPr>
        <w:t xml:space="preserve">This Sales Report is proprietary to The Economist and may not be shared externally without written authorization.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Mexico City</dc:title>
  <dc:creator/>
  <dc:language>en</dc:language>
  <cp:keywords/>
  <dcterms:created xsi:type="dcterms:W3CDTF">2026-07-24T01:09:45Z</dcterms:created>
  <dcterms:modified xsi:type="dcterms:W3CDTF">2026-07-24T01:09:45Z</dcterms:modified>
</cp:coreProperties>
</file>

<file path=docProps/custom.xml><?xml version="1.0" encoding="utf-8"?>
<Properties xmlns="http://schemas.openxmlformats.org/officeDocument/2006/custom-properties" xmlns:vt="http://schemas.openxmlformats.org/officeDocument/2006/docPropsVTypes"/>
</file>