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w:t>
      </w:r>
      <w:r>
        <w:t xml:space="preserve"> </w:t>
      </w:r>
      <w:r>
        <w:t xml:space="preserve">Analysis</w:t>
      </w:r>
    </w:p>
    <w:bookmarkStart w:id="27" w:name="X2b1a53c12232a631cd8a4b6b3408cafe01045c0"/>
    <w:p>
      <w:pPr>
        <w:pStyle w:val="Heading1"/>
      </w:pPr>
      <w:r>
        <w:t xml:space="preserve">Comprehensive Sales Report: The Economist in Myanmar Yangon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The Economist Global Management</w:t>
      </w:r>
      <w:r>
        <w:br/>
      </w:r>
      <w:r>
        <w:rPr>
          <w:bCs/>
          <w:b/>
        </w:rPr>
        <w:t xml:space="preserve">Region Covered:</w:t>
      </w:r>
      <w:r>
        <w:t xml:space="preserve"> </w:t>
      </w:r>
      <w:r>
        <w:t xml:space="preserve">Myanmar Yangon Metropolitan Area</w:t>
      </w:r>
    </w:p>
    <w:bookmarkStart w:id="20" w:name="i.-executive-summary"/>
    <w:p>
      <w:pPr>
        <w:pStyle w:val="Heading2"/>
      </w:pPr>
      <w:r>
        <w:t xml:space="preserve">I. Executive Summary</w:t>
      </w:r>
    </w:p>
    <w:p>
      <w:pPr>
        <w:pStyle w:val="FirstParagraph"/>
      </w:pPr>
      <w:r>
        <w:t xml:space="preserve">This Sales Report details the strategic performance of</w:t>
      </w:r>
      <w:r>
        <w:t xml:space="preserve"> </w:t>
      </w:r>
      <w:r>
        <w:rPr>
          <w:iCs/>
          <w:i/>
        </w:rPr>
        <w:t xml:space="preserve">The Economist</w:t>
      </w:r>
      <w:r>
        <w:t xml:space="preserve"> </w:t>
      </w:r>
      <w:r>
        <w:t xml:space="preserve">in the dynamic Myanmar Yangon market during Q3 2023. Despite regional economic volatility,</w:t>
      </w:r>
      <w:r>
        <w:t xml:space="preserve"> </w:t>
      </w:r>
      <w:r>
        <w:rPr>
          <w:iCs/>
          <w:i/>
        </w:rPr>
        <w:t xml:space="preserve">The Economist</w:t>
      </w:r>
      <w:r>
        <w:t xml:space="preserve"> </w:t>
      </w:r>
      <w:r>
        <w:t xml:space="preserve">achieved a remarkable 18% year-on-year growth in subscriber acquisition within Yangon, outperforming all local and international business publications. This success underscores the publication's critical role as a trusted economic intelligence source for Myanmar's business elite and policymakers navigating the nation's transformative period. The report analyzes key drivers of this growth, challenges faced, and strategic recommendations for sustained market leadership in Yangon.</w:t>
      </w:r>
    </w:p>
    <w:bookmarkEnd w:id="20"/>
    <w:bookmarkStart w:id="21" w:name="Xa5776f5babe05fb036af08bec8abb5c2a09d76e"/>
    <w:p>
      <w:pPr>
        <w:pStyle w:val="Heading2"/>
      </w:pPr>
      <w:r>
        <w:t xml:space="preserve">II. Market Context: Why The Economist in Myanmar Yangon?</w:t>
      </w:r>
    </w:p>
    <w:p>
      <w:pPr>
        <w:pStyle w:val="FirstParagraph"/>
      </w:pPr>
      <w:r>
        <w:t xml:space="preserve">Yangon, Myanmar's economic capital and primary business hub, represents a high-potential market for premium economic journalism. As the nation transitions through complex political and economic reforms, local executives, diplomats, and investors urgently require sophisticated analysis of regional trade dynamics, ASEAN integration impacts, and Myanmar's unique market opportunities.</w:t>
      </w:r>
      <w:r>
        <w:t xml:space="preserve"> </w:t>
      </w:r>
      <w:r>
        <w:rPr>
          <w:iCs/>
          <w:i/>
        </w:rPr>
        <w:t xml:space="preserve">The Economist</w:t>
      </w:r>
      <w:r>
        <w:t xml:space="preserve"> </w:t>
      </w:r>
      <w:r>
        <w:t xml:space="preserve">has established itself as the definitive source for this audience – offering nuanced perspectives that no local publication can match. In Yangon's competitive media landscape where most economic content is superficial or government-aligned,</w:t>
      </w:r>
      <w:r>
        <w:t xml:space="preserve"> </w:t>
      </w:r>
      <w:r>
        <w:rPr>
          <w:iCs/>
          <w:i/>
        </w:rPr>
        <w:t xml:space="preserve">The Economist</w:t>
      </w:r>
      <w:r>
        <w:t xml:space="preserve">'s independent analysis provides unmatched value, directly addressing the city's evolving needs.</w:t>
      </w:r>
    </w:p>
    <w:bookmarkEnd w:id="21"/>
    <w:bookmarkStart w:id="22" w:name="X14ef467954d501b0114aa739be9957c896b5d7b"/>
    <w:p>
      <w:pPr>
        <w:pStyle w:val="Heading2"/>
      </w:pPr>
      <w:r>
        <w:t xml:space="preserve">III. Sales Performance Highlights (Yangon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Metrics</w:t>
            </w:r>
          </w:p>
        </w:tc>
        <w:tc>
          <w:tcPr/>
          <w:p>
            <w:pPr>
              <w:pStyle w:val="Compact"/>
              <w:jc w:val="left"/>
            </w:pPr>
            <w:r>
              <w:t xml:space="preserve">Q3 2022</w:t>
            </w:r>
          </w:p>
        </w:tc>
        <w:tc>
          <w:tcPr/>
          <w:p>
            <w:pPr>
              <w:pStyle w:val="Compact"/>
              <w:jc w:val="left"/>
            </w:pPr>
            <w:r>
              <w:t xml:space="preserve">Q3 2023</w:t>
            </w:r>
          </w:p>
        </w:tc>
        <w:tc>
          <w:tcPr/>
          <w:p>
            <w:pPr>
              <w:pStyle w:val="Compact"/>
              <w:jc w:val="left"/>
            </w:pPr>
            <w:r>
              <w:t xml:space="preserve">YoY Change</w:t>
            </w:r>
          </w:p>
        </w:tc>
      </w:tr>
      <w:tr>
        <w:tc>
          <w:tcPr/>
          <w:p>
            <w:pPr>
              <w:pStyle w:val="Compact"/>
              <w:jc w:val="left"/>
            </w:pPr>
            <w:r>
              <w:t xml:space="preserve">Digital Subscribers (Yangon)</w:t>
            </w:r>
          </w:p>
        </w:tc>
        <w:tc>
          <w:tcPr/>
          <w:p>
            <w:pPr>
              <w:pStyle w:val="Compact"/>
              <w:jc w:val="left"/>
            </w:pPr>
            <w:r>
              <w:t xml:space="preserve">1,450</w:t>
            </w:r>
          </w:p>
        </w:tc>
        <w:tc>
          <w:tcPr/>
          <w:p>
            <w:pPr>
              <w:pStyle w:val="Compact"/>
              <w:jc w:val="left"/>
            </w:pPr>
            <w:r>
              <w:t xml:space="preserve">1,710</w:t>
            </w:r>
          </w:p>
        </w:tc>
        <w:tc>
          <w:tcPr/>
          <w:p>
            <w:pPr>
              <w:pStyle w:val="Compact"/>
              <w:jc w:val="left"/>
            </w:pPr>
            <w:r>
              <w:t xml:space="preserve">+17.9%</w:t>
            </w:r>
          </w:p>
        </w:tc>
      </w:tr>
      <w:tr>
        <w:tc>
          <w:tcPr/>
          <w:p>
            <w:pPr>
              <w:pStyle w:val="Compact"/>
              <w:jc w:val="left"/>
            </w:pPr>
            <w:r>
              <w:t xml:space="preserve">Print Subscriptions (Yangon)</w:t>
            </w:r>
          </w:p>
        </w:tc>
        <w:tc>
          <w:tcPr/>
          <w:p>
            <w:pPr>
              <w:pStyle w:val="Compact"/>
              <w:jc w:val="left"/>
            </w:pPr>
            <w:r>
              <w:t xml:space="preserve">820</w:t>
            </w:r>
          </w:p>
        </w:tc>
        <w:tc>
          <w:tcPr/>
          <w:p>
            <w:pPr>
              <w:pStyle w:val="Compact"/>
              <w:jc w:val="left"/>
            </w:pPr>
            <w:r>
              <w:t xml:space="preserve">945</w:t>
            </w:r>
          </w:p>
        </w:tc>
        <w:tc>
          <w:tcPr/>
          <w:p>
            <w:pPr>
              <w:pStyle w:val="Compact"/>
              <w:jc w:val="left"/>
            </w:pPr>
            <w:r>
              <w:t xml:space="preserve">+15.2%</w:t>
            </w:r>
          </w:p>
        </w:tc>
      </w:tr>
      <w:tr>
        <w:tc>
          <w:tcPr/>
          <w:p>
            <w:pPr>
              <w:pStyle w:val="Compact"/>
              <w:jc w:val="left"/>
            </w:pPr>
            <w:r>
              <w:t xml:space="preserve">Total Paid Subscribers (Yangon)</w:t>
            </w:r>
          </w:p>
        </w:tc>
        <w:tc>
          <w:tcPr/>
          <w:p>
            <w:pPr>
              <w:pStyle w:val="Compact"/>
              <w:jc w:val="left"/>
            </w:pPr>
            <w:r>
              <w:t xml:space="preserve">2,270</w:t>
            </w:r>
          </w:p>
        </w:tc>
        <w:tc>
          <w:tcPr/>
          <w:p>
            <w:pPr>
              <w:pStyle w:val="Compact"/>
              <w:jc w:val="left"/>
            </w:pPr>
            <w:r>
              <w:t xml:space="preserve">2,655</w:t>
            </w:r>
          </w:p>
        </w:tc>
        <w:tc>
          <w:tcPr/>
          <w:p>
            <w:pPr>
              <w:pStyle w:val="Compact"/>
              <w:jc w:val="left"/>
            </w:pPr>
            <w:r>
              <w:t xml:space="preserve">+16.9%</w:t>
            </w:r>
          </w:p>
        </w:tc>
      </w:tr>
      <w:tr>
        <w:tc>
          <w:tcPr/>
          <w:p>
            <w:pPr>
              <w:pStyle w:val="Compact"/>
              <w:jc w:val="left"/>
            </w:pPr>
            <w:r>
              <w:t xml:space="preserve">Average Revenue Per User (ARPU)</w:t>
            </w:r>
          </w:p>
        </w:tc>
        <w:tc>
          <w:tcPr/>
          <w:p>
            <w:pPr>
              <w:pStyle w:val="Compact"/>
              <w:jc w:val="left"/>
            </w:pPr>
            <w:r>
              <w:t xml:space="preserve">$84.30</w:t>
            </w:r>
          </w:p>
        </w:tc>
        <w:tc>
          <w:tcPr/>
          <w:p>
            <w:pPr>
              <w:pStyle w:val="Compact"/>
              <w:jc w:val="left"/>
            </w:pPr>
            <w:r>
              <w:t xml:space="preserve">$87.90</w:t>
            </w:r>
          </w:p>
        </w:tc>
        <w:tc>
          <w:tcPr/>
          <w:p>
            <w:pPr>
              <w:pStyle w:val="Compact"/>
              <w:jc w:val="left"/>
            </w:pPr>
            <w:r>
              <w:t xml:space="preserve">+4.3%</w:t>
            </w:r>
          </w:p>
        </w:tc>
      </w:tr>
    </w:tbl>
    <w:p>
      <w:pPr>
        <w:pStyle w:val="BodyText"/>
      </w:pPr>
      <w:r>
        <w:t xml:space="preserve">Notably, Yangon contributed 62% of all Myanmar subscriptions, demonstrating its status as the economic epicenter for our readership. The growth trajectory exceeded regional averages by 5.3 percentage points, with digital subscriptions showing the strongest momentum (28% of total Yangon sales vs. 19% in 2022). This indicates a clear preference among Yangon's business professionals for on-demand, mobile-friendly access to</w:t>
      </w:r>
      <w:r>
        <w:t xml:space="preserve"> </w:t>
      </w:r>
      <w:r>
        <w:rPr>
          <w:iCs/>
          <w:i/>
        </w:rPr>
        <w:t xml:space="preserve">The Economist</w:t>
      </w:r>
      <w:r>
        <w:t xml:space="preserve">'s analysis.</w:t>
      </w:r>
    </w:p>
    <w:bookmarkEnd w:id="22"/>
    <w:bookmarkStart w:id="23" w:name="X510879c333f1edd39357779fb1cd606ad16d189"/>
    <w:p>
      <w:pPr>
        <w:pStyle w:val="Heading2"/>
      </w:pPr>
      <w:r>
        <w:t xml:space="preserve">IV. Key Drivers of Success in Myanmar Yangon</w:t>
      </w:r>
    </w:p>
    <w:p>
      <w:pPr>
        <w:numPr>
          <w:ilvl w:val="0"/>
          <w:numId w:val="1001"/>
        </w:numPr>
        <w:pStyle w:val="Compact"/>
      </w:pPr>
      <w:r>
        <w:rPr>
          <w:bCs/>
          <w:b/>
        </w:rPr>
        <w:t xml:space="preserve">Timely Political Analysis:</w:t>
      </w:r>
      <w:r>
        <w:t xml:space="preserve"> </w:t>
      </w:r>
      <w:r>
        <w:t xml:space="preserve">Our coverage of Myanmar's constitutional reforms and military-civilian negotiations provided critical insights that local media could not deliver, directly driving subscriptions among government officials and foreign investment teams based in Yangon.</w:t>
      </w:r>
    </w:p>
    <w:p>
      <w:pPr>
        <w:numPr>
          <w:ilvl w:val="0"/>
          <w:numId w:val="1001"/>
        </w:numPr>
        <w:pStyle w:val="Compact"/>
      </w:pPr>
      <w:r>
        <w:rPr>
          <w:bCs/>
          <w:b/>
        </w:rPr>
        <w:t xml:space="preserve">Cultural Localization:</w:t>
      </w:r>
      <w:r>
        <w:t xml:space="preserve"> </w:t>
      </w:r>
      <w:r>
        <w:t xml:space="preserve">The Economist Yangon team developed region-specific supplements on "ASEAN Investment Opportunities in Myanmar" and "Yangon Real Estate Market Dynamics," resonating deeply with local decision-makers. These editions were distributed exclusively through our Yangon partners.</w:t>
      </w:r>
    </w:p>
    <w:p>
      <w:pPr>
        <w:numPr>
          <w:ilvl w:val="0"/>
          <w:numId w:val="1001"/>
        </w:numPr>
        <w:pStyle w:val="Compact"/>
      </w:pPr>
      <w:r>
        <w:rPr>
          <w:bCs/>
          <w:b/>
        </w:rPr>
        <w:t xml:space="preserve">Strategic Partnerships:</w:t>
      </w:r>
      <w:r>
        <w:t xml:space="preserve"> </w:t>
      </w:r>
      <w:r>
        <w:t xml:space="preserve">Collaborations with key institutions including the Yangon Chamber of Commerce, British Embassy, and leading firms like Myanmar Airways International significantly boosted credibility and access to high-value audiences.</w:t>
      </w:r>
    </w:p>
    <w:p>
      <w:pPr>
        <w:numPr>
          <w:ilvl w:val="0"/>
          <w:numId w:val="1001"/>
        </w:numPr>
        <w:pStyle w:val="Compact"/>
      </w:pPr>
      <w:r>
        <w:rPr>
          <w:bCs/>
          <w:b/>
        </w:rPr>
        <w:t xml:space="preserve">Digital Engagement:</w:t>
      </w:r>
      <w:r>
        <w:t xml:space="preserve"> </w:t>
      </w:r>
      <w:r>
        <w:t xml:space="preserve">Launching a dedicated Myanmar-focused newsletter "Yangon Brief" (with daily economic alerts) increased subscriber retention by 22% among Yangon users.</w:t>
      </w:r>
    </w:p>
    <w:bookmarkEnd w:id="23"/>
    <w:bookmarkStart w:id="24" w:name="v.-challenges-strategic-response"/>
    <w:p>
      <w:pPr>
        <w:pStyle w:val="Heading2"/>
      </w:pPr>
      <w:r>
        <w:t xml:space="preserve">V. Challenges &amp; Strategic Response</w:t>
      </w:r>
    </w:p>
    <w:p>
      <w:pPr>
        <w:pStyle w:val="FirstParagraph"/>
      </w:pPr>
      <w:r>
        <w:t xml:space="preserve">Despite strong growth, the Yangon market presented unique obstacles:</w:t>
      </w:r>
    </w:p>
    <w:p>
      <w:pPr>
        <w:numPr>
          <w:ilvl w:val="0"/>
          <w:numId w:val="1002"/>
        </w:numPr>
        <w:pStyle w:val="Compact"/>
      </w:pPr>
      <w:r>
        <w:rPr>
          <w:iCs/>
          <w:i/>
        </w:rPr>
        <w:t xml:space="preserve">Infrastructure Limitations:</w:t>
      </w:r>
      <w:r>
        <w:t xml:space="preserve"> </w:t>
      </w:r>
      <w:r>
        <w:t xml:space="preserve">Internet reliability issues in certain areas caused subscription friction. Our solution: Partnered with Myanmar's largest telecom provider (Myanma Posts and Telecommunications) to offer subsidized data bundles for digital subscribers.</w:t>
      </w:r>
    </w:p>
    <w:p>
      <w:pPr>
        <w:numPr>
          <w:ilvl w:val="0"/>
          <w:numId w:val="1002"/>
        </w:numPr>
        <w:pStyle w:val="Compact"/>
      </w:pPr>
      <w:r>
        <w:rPr>
          <w:iCs/>
          <w:i/>
        </w:rPr>
        <w:t xml:space="preserve">Economic Uncertainty:</w:t>
      </w:r>
      <w:r>
        <w:t xml:space="preserve"> </w:t>
      </w:r>
      <w:r>
        <w:t xml:space="preserve">Currency volatility affected payment processing. We implemented a local currency billing system (MMK) in partnership with Yangon-based fintech firm "Wave" to eliminate conversion headaches.</w:t>
      </w:r>
    </w:p>
    <w:p>
      <w:pPr>
        <w:numPr>
          <w:ilvl w:val="0"/>
          <w:numId w:val="1002"/>
        </w:numPr>
        <w:pStyle w:val="Compact"/>
      </w:pPr>
      <w:r>
        <w:rPr>
          <w:iCs/>
          <w:i/>
        </w:rPr>
        <w:t xml:space="preserve">Competition:</w:t>
      </w:r>
      <w:r>
        <w:t xml:space="preserve"> </w:t>
      </w:r>
      <w:r>
        <w:t xml:space="preserve">Local publications attempted to mimic our business coverage. Counter-strategy: Launched "The Economist Myanmar Roundup" – an exclusive weekly summary of Yangon-specific economic developments not available elsewhere.</w:t>
      </w:r>
    </w:p>
    <w:bookmarkEnd w:id="24"/>
    <w:bookmarkStart w:id="25" w:name="X6e031b4e09b35aa2dc2c3dd6e5a1bdbad6434fe"/>
    <w:p>
      <w:pPr>
        <w:pStyle w:val="Heading2"/>
      </w:pPr>
      <w:r>
        <w:t xml:space="preserve">VI. Future Outlook &amp; Strategic Recommendations</w:t>
      </w:r>
    </w:p>
    <w:p>
      <w:pPr>
        <w:pStyle w:val="FirstParagraph"/>
      </w:pPr>
      <w:r>
        <w:t xml:space="preserve">The trajectory for</w:t>
      </w:r>
      <w:r>
        <w:t xml:space="preserve"> </w:t>
      </w:r>
      <w:r>
        <w:rPr>
          <w:iCs/>
          <w:i/>
        </w:rPr>
        <w:t xml:space="preserve">The Economist</w:t>
      </w:r>
      <w:r>
        <w:t xml:space="preserve"> </w:t>
      </w:r>
      <w:r>
        <w:t xml:space="preserve">in Yangon is exceptionally strong, with projections indicating 25% growth in total subscriptions by Q3 2024. To sustain this momentum, we recommend:</w:t>
      </w:r>
    </w:p>
    <w:p>
      <w:pPr>
        <w:numPr>
          <w:ilvl w:val="0"/>
          <w:numId w:val="1003"/>
        </w:numPr>
        <w:pStyle w:val="Compact"/>
      </w:pPr>
      <w:r>
        <w:rPr>
          <w:bCs/>
          <w:b/>
        </w:rPr>
        <w:t xml:space="preserve">Expand Physical Distribution:</w:t>
      </w:r>
      <w:r>
        <w:t xml:space="preserve"> </w:t>
      </w:r>
      <w:r>
        <w:t xml:space="preserve">Establish a dedicated Yangon newsstand at the newly developed Sule Pagoda Business District to capture high-traffic business commuters.</w:t>
      </w:r>
    </w:p>
    <w:p>
      <w:pPr>
        <w:numPr>
          <w:ilvl w:val="0"/>
          <w:numId w:val="1003"/>
        </w:numPr>
        <w:pStyle w:val="Compact"/>
      </w:pPr>
      <w:r>
        <w:rPr>
          <w:bCs/>
          <w:b/>
        </w:rPr>
        <w:t xml:space="preserve">Host Targeted Events:</w:t>
      </w:r>
      <w:r>
        <w:t xml:space="preserve"> </w:t>
      </w:r>
      <w:r>
        <w:t xml:space="preserve">Organize quarterly "Economist Economic Forums" in Yangon featuring regional experts – positioning</w:t>
      </w:r>
      <w:r>
        <w:t xml:space="preserve"> </w:t>
      </w:r>
      <w:r>
        <w:rPr>
          <w:iCs/>
          <w:i/>
        </w:rPr>
        <w:t xml:space="preserve">The Economist</w:t>
      </w:r>
      <w:r>
        <w:t xml:space="preserve"> </w:t>
      </w:r>
      <w:r>
        <w:t xml:space="preserve">as an essential networking hub for Myanmar's economic leadership.</w:t>
      </w:r>
    </w:p>
    <w:p>
      <w:pPr>
        <w:numPr>
          <w:ilvl w:val="0"/>
          <w:numId w:val="1003"/>
        </w:numPr>
        <w:pStyle w:val="Compact"/>
      </w:pPr>
      <w:r>
        <w:rPr>
          <w:bCs/>
          <w:b/>
        </w:rPr>
        <w:t xml:space="preserve">Cultivate Local Talent:</w:t>
      </w:r>
      <w:r>
        <w:t xml:space="preserve"> </w:t>
      </w:r>
      <w:r>
        <w:t xml:space="preserve">Recruit and train 3-5 native Yangon journalists to produce hyper-local content, ensuring authentic insights on issues like port development at Thilawa SEZ and agricultural market shifts.</w:t>
      </w:r>
    </w:p>
    <w:p>
      <w:pPr>
        <w:numPr>
          <w:ilvl w:val="0"/>
          <w:numId w:val="1003"/>
        </w:numPr>
        <w:pStyle w:val="Compact"/>
      </w:pPr>
      <w:r>
        <w:rPr>
          <w:bCs/>
          <w:b/>
        </w:rPr>
        <w:t xml:space="preserve">Leverage Digital Communities:</w:t>
      </w:r>
      <w:r>
        <w:t xml:space="preserve"> </w:t>
      </w:r>
      <w:r>
        <w:t xml:space="preserve">Build a private WhatsApp group for Yangon subscribers featuring exclusive Q&amp;As with our Myanmar correspondents – enhancing engagement beyond traditional subscriptions.</w:t>
      </w:r>
    </w:p>
    <w:bookmarkEnd w:id="25"/>
    <w:bookmarkStart w:id="26" w:name="vii.-conclusion"/>
    <w:p>
      <w:pPr>
        <w:pStyle w:val="Heading2"/>
      </w:pPr>
      <w:r>
        <w:t xml:space="preserve">VII. Conclusion</w:t>
      </w:r>
    </w:p>
    <w:p>
      <w:pPr>
        <w:pStyle w:val="FirstParagraph"/>
      </w:pPr>
      <w:r>
        <w:t xml:space="preserve">This Sales Report confirms that</w:t>
      </w:r>
      <w:r>
        <w:t xml:space="preserve"> </w:t>
      </w:r>
      <w:r>
        <w:rPr>
          <w:iCs/>
          <w:i/>
        </w:rPr>
        <w:t xml:space="preserve">The Economist</w:t>
      </w:r>
      <w:r>
        <w:t xml:space="preserve"> </w:t>
      </w:r>
      <w:r>
        <w:t xml:space="preserve">is not merely surviving in Myanmar Yangon – it is thriving as the indispensable economic intelligence partner for the city's most influential stakeholders. The 18% YoY growth in Yangon, our most valuable market in Southeast Asia, validates our strategy of combining global editorial excellence with hyper-local relevance. As Myanmar continues its economic evolution,</w:t>
      </w:r>
      <w:r>
        <w:t xml:space="preserve"> </w:t>
      </w:r>
      <w:r>
        <w:rPr>
          <w:iCs/>
          <w:i/>
        </w:rPr>
        <w:t xml:space="preserve">The Economist</w:t>
      </w:r>
      <w:r>
        <w:t xml:space="preserve">'s unique position to provide independent analysis will become even more critical for Yangon's business community. We project sustained double-digit growth through 2024, cementing</w:t>
      </w:r>
      <w:r>
        <w:t xml:space="preserve"> </w:t>
      </w:r>
      <w:r>
        <w:rPr>
          <w:iCs/>
          <w:i/>
        </w:rPr>
        <w:t xml:space="preserve">The Economist</w:t>
      </w:r>
      <w:r>
        <w:t xml:space="preserve"> </w:t>
      </w:r>
      <w:r>
        <w:t xml:space="preserve">as the definitive source for understanding Myanmar's economic trajectory.</w:t>
      </w:r>
    </w:p>
    <w:p>
      <w:pPr>
        <w:pStyle w:val="BodyText"/>
      </w:pPr>
      <w:r>
        <w:rPr>
          <w:bCs/>
          <w:b/>
        </w:rPr>
        <w:t xml:space="preserve">Prepared by:</w:t>
      </w:r>
      <w:r>
        <w:t xml:space="preserve"> </w:t>
      </w:r>
      <w:r>
        <w:t xml:space="preserve">Regional Sales Strategy Team, Southeast Asia</w:t>
      </w:r>
      <w:r>
        <w:br/>
      </w:r>
      <w:r>
        <w:rPr>
          <w:bCs/>
          <w:b/>
        </w:rPr>
        <w:t xml:space="preserve">Contact:</w:t>
      </w:r>
      <w:r>
        <w:t xml:space="preserve"> </w:t>
      </w:r>
      <w:r>
        <w:t xml:space="preserve">asia.sales@economist.com | +95 123 456 789 (Yangon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Sales Report: Myanmar Yangon Market Analysis</dc:title>
  <dc:creator/>
  <dc:language>en</dc:language>
  <cp:keywords/>
  <dcterms:created xsi:type="dcterms:W3CDTF">2025-12-12T20:06:13Z</dcterms:created>
  <dcterms:modified xsi:type="dcterms:W3CDTF">2025-12-12T20:06:13Z</dcterms:modified>
</cp:coreProperties>
</file>

<file path=docProps/custom.xml><?xml version="1.0" encoding="utf-8"?>
<Properties xmlns="http://schemas.openxmlformats.org/officeDocument/2006/custom-properties" xmlns:vt="http://schemas.openxmlformats.org/officeDocument/2006/docPropsVTypes"/>
</file>