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Netherlands</w:t>
      </w:r>
      <w:r>
        <w:t xml:space="preserve"> </w:t>
      </w:r>
      <w:r>
        <w:t xml:space="preserve">Amsterdam</w:t>
      </w:r>
      <w:r>
        <w:t xml:space="preserve"> </w:t>
      </w:r>
      <w:r>
        <w:t xml:space="preserve">Market</w:t>
      </w:r>
    </w:p>
    <w:bookmarkStart w:id="27" w:name="Xfb9b3c75aad5e006ea0dcf5ce6bfeba94bcbd4c"/>
    <w:p>
      <w:pPr>
        <w:pStyle w:val="Heading1"/>
      </w:pPr>
      <w:r>
        <w:t xml:space="preserve">Quarterly Sales Report: The Economist Subscription Performance in Netherlands Amsterdam (Q3 2023)</w:t>
      </w:r>
    </w:p>
    <w:bookmarkStart w:id="20" w:name="executive-summary"/>
    <w:p>
      <w:pPr>
        <w:pStyle w:val="Heading2"/>
      </w:pPr>
      <w:r>
        <w:t xml:space="preserve">Executive Summary</w:t>
      </w:r>
    </w:p>
    <w:p>
      <w:pPr>
        <w:pStyle w:val="FirstParagraph"/>
      </w:pPr>
      <w:r>
        <w:t xml:space="preserve">This Sales Report details the performance of</w:t>
      </w:r>
      <w:r>
        <w:t xml:space="preserve"> </w:t>
      </w:r>
      <w:r>
        <w:rPr>
          <w:iCs/>
          <w:i/>
        </w:rPr>
        <w:t xml:space="preserve">The Economist</w:t>
      </w:r>
      <w:r>
        <w:t xml:space="preserve"> </w:t>
      </w:r>
      <w:r>
        <w:t xml:space="preserve">subscription services within the Netherlands Amsterdam market during Q3 2023. As a premier global publication providing economic, political, and business analysis,</w:t>
      </w:r>
      <w:r>
        <w:t xml:space="preserve"> </w:t>
      </w:r>
      <w:r>
        <w:rPr>
          <w:iCs/>
          <w:i/>
        </w:rPr>
        <w:t xml:space="preserve">The Economist</w:t>
      </w:r>
      <w:r>
        <w:t xml:space="preserve"> </w:t>
      </w:r>
      <w:r>
        <w:t xml:space="preserve">continues to demonstrate significant growth in Amsterdam—a critical hub for international finance and policy-making in the Netherlands. This report confirms a 19% year-on-year increase in premium digital subscriptions across Netherlands Amsterdam, driven by heightened demand for nuanced economic insights among Dutch corporate executives, policymakers, and academic institutions. The success underscores</w:t>
      </w:r>
      <w:r>
        <w:t xml:space="preserve"> </w:t>
      </w:r>
      <w:r>
        <w:rPr>
          <w:iCs/>
          <w:i/>
        </w:rPr>
        <w:t xml:space="preserve">The Economist</w:t>
      </w:r>
      <w:r>
        <w:t xml:space="preserve">'s strategic alignment with Amsterdam's status as Europe’s leading financial center and its role as the Netherlands' primary business capital.</w:t>
      </w:r>
    </w:p>
    <w:bookmarkEnd w:id="20"/>
    <w:bookmarkStart w:id="21" w:name="X115ec3a25d9966dda32a25f8e6f2a50291f252a"/>
    <w:p>
      <w:pPr>
        <w:pStyle w:val="Heading2"/>
      </w:pPr>
      <w:r>
        <w:t xml:space="preserve">Market Context: Amsterdam &amp; Netherlands Economic Landscape</w:t>
      </w:r>
    </w:p>
    <w:p>
      <w:pPr>
        <w:pStyle w:val="FirstParagraph"/>
      </w:pPr>
      <w:r>
        <w:t xml:space="preserve">Amsterdam’s position as the economic nerve center of the Netherlands remains pivotal. As home to AEX index companies, De Nederlandsche Bank (DNB), and numerous EU regulatory bodies, businesses in Amsterdam require authoritative analysis of global markets—especially post-pandemic recovery dynamics and green energy transitions. The Netherlands’ strong GDP growth (3.1% YoY) and status as the EU’s 4th largest economy amplify demand for publications like</w:t>
      </w:r>
      <w:r>
        <w:t xml:space="preserve"> </w:t>
      </w:r>
      <w:r>
        <w:rPr>
          <w:iCs/>
          <w:i/>
        </w:rPr>
        <w:t xml:space="preserve">The Economist</w:t>
      </w:r>
      <w:r>
        <w:t xml:space="preserve">, which provides actionable intelligence on Dutch trade policy, EU regulations, and sustainable finance trends critical to Amsterdam’s business ecosystem.</w:t>
      </w:r>
    </w:p>
    <w:p>
      <w:pPr>
        <w:pStyle w:val="BodyText"/>
      </w:pPr>
      <w:r>
        <w:t xml:space="preserve">This Sales Report confirms that 78% of new subscribers in Netherlands Amsterdam cite "comprehensive coverage of Dutch economic policy shifts" as their primary motivation. Notably, the publication’s analysis of the Netherlands’ carbon tax reforms and its impact on Amsterdam-based logistics firms (e.g., Port of Rotterdam expansion) directly resonated with 63% of corporate clients surveyed.</w:t>
      </w:r>
    </w:p>
    <w:bookmarkEnd w:id="21"/>
    <w:bookmarkStart w:id="22" w:name="X30727c5deb3a36720bb8c9cc03119279f0d17f7"/>
    <w:p>
      <w:pPr>
        <w:pStyle w:val="Heading2"/>
      </w:pPr>
      <w:r>
        <w:t xml:space="preserve">Q3 Sales Performance: Netherlands Amsterdam Market</w:t>
      </w:r>
    </w:p>
    <w:p>
      <w:pPr>
        <w:pStyle w:val="FirstParagraph"/>
      </w:pPr>
      <w:r>
        <w:t xml:space="preserve">The quarterly performance metrics for</w:t>
      </w:r>
      <w:r>
        <w:t xml:space="preserve"> </w:t>
      </w:r>
      <w:r>
        <w:rPr>
          <w:iCs/>
          <w:i/>
        </w:rPr>
        <w:t xml:space="preserve">The Economist</w:t>
      </w:r>
      <w:r>
        <w:t xml:space="preserve"> </w:t>
      </w:r>
      <w:r>
        <w:t xml:space="preserve">in the Netherlands Amsterdam market reveal robust growth:</w:t>
      </w:r>
    </w:p>
    <w:p>
      <w:pPr>
        <w:numPr>
          <w:ilvl w:val="0"/>
          <w:numId w:val="1001"/>
        </w:numPr>
        <w:pStyle w:val="Compact"/>
      </w:pPr>
      <w:r>
        <w:rPr>
          <w:bCs/>
          <w:b/>
        </w:rPr>
        <w:t xml:space="preserve">Digital Subscriptions:</w:t>
      </w:r>
      <w:r>
        <w:t xml:space="preserve"> </w:t>
      </w:r>
      <w:r>
        <w:t xml:space="preserve">+24% YoY, reaching 12,850 active users in Amsterdam (vs. 10,360 in Q3 2022).</w:t>
      </w:r>
    </w:p>
    <w:p>
      <w:pPr>
        <w:numPr>
          <w:ilvl w:val="0"/>
          <w:numId w:val="1001"/>
        </w:numPr>
        <w:pStyle w:val="Compact"/>
      </w:pPr>
      <w:r>
        <w:rPr>
          <w:bCs/>
          <w:b/>
        </w:rPr>
        <w:t xml:space="preserve">Premium Corporate Accounts:</w:t>
      </w:r>
      <w:r>
        <w:t xml:space="preserve"> </w:t>
      </w:r>
      <w:r>
        <w:t xml:space="preserve">+17% growth from Dutch enterprises (including KLM, ING Group, and ASML), with Amsterdam-based firms accounting for 41% of new B2B sales.</w:t>
      </w:r>
    </w:p>
    <w:p>
      <w:pPr>
        <w:numPr>
          <w:ilvl w:val="0"/>
          <w:numId w:val="1001"/>
        </w:numPr>
        <w:pStyle w:val="Compact"/>
      </w:pPr>
      <w:r>
        <w:rPr>
          <w:bCs/>
          <w:b/>
        </w:rPr>
        <w:t xml:space="preserve">Academic &amp; Government Sector:</w:t>
      </w:r>
      <w:r>
        <w:t xml:space="preserve"> </w:t>
      </w:r>
      <w:r>
        <w:t xml:space="preserve">32 new institutional subscriptions from UvA, VU Amsterdam, and the Ministry of Finance—representing a 35% increase over Q2.</w:t>
      </w:r>
    </w:p>
    <w:p>
      <w:pPr>
        <w:numPr>
          <w:ilvl w:val="0"/>
          <w:numId w:val="1001"/>
        </w:numPr>
        <w:pStyle w:val="Compact"/>
      </w:pPr>
      <w:r>
        <w:rPr>
          <w:bCs/>
          <w:b/>
        </w:rPr>
        <w:t xml:space="preserve">Local Engagement:</w:t>
      </w:r>
      <w:r>
        <w:t xml:space="preserve"> </w:t>
      </w:r>
      <w:r>
        <w:t xml:space="preserve">Amsterdam-specific content (e.g., "Amsterdam’s Green Tech Leap" series) drove a 47% higher engagement rate among local subscribers versus global averages.</w:t>
      </w:r>
    </w:p>
    <w:bookmarkEnd w:id="22"/>
    <w:bookmarkStart w:id="23" w:name="Xaacce2780b7e747e683690f7934b0c32bfeec16"/>
    <w:p>
      <w:pPr>
        <w:pStyle w:val="Heading2"/>
      </w:pPr>
      <w:r>
        <w:t xml:space="preserve">Key Growth Drivers: Amsterdam-Centric Strategy</w:t>
      </w:r>
    </w:p>
    <w:p>
      <w:pPr>
        <w:pStyle w:val="FirstParagraph"/>
      </w:pPr>
      <w:r>
        <w:t xml:space="preserve">This Sales Report attributes Amsterdam’s outperformance to three localized initiatives:</w:t>
      </w:r>
    </w:p>
    <w:p>
      <w:pPr>
        <w:numPr>
          <w:ilvl w:val="0"/>
          <w:numId w:val="1002"/>
        </w:numPr>
        <w:pStyle w:val="Compact"/>
      </w:pPr>
      <w:r>
        <w:rPr>
          <w:bCs/>
          <w:b/>
        </w:rPr>
        <w:t xml:space="preserve">Amsterdam Policy Briefs:</w:t>
      </w:r>
      <w:r>
        <w:t xml:space="preserve"> </w:t>
      </w:r>
      <w:r>
        <w:t xml:space="preserve">Exclusive weekly analyses of Dutch economic policies (e.g., housing market reforms, tax incentives for sustainable startups) distributed directly to subscribers via the</w:t>
      </w:r>
      <w:r>
        <w:t xml:space="preserve"> </w:t>
      </w:r>
      <w:r>
        <w:rPr>
          <w:iCs/>
          <w:i/>
        </w:rPr>
        <w:t xml:space="preserve">The Economist</w:t>
      </w:r>
      <w:r>
        <w:t xml:space="preserve"> </w:t>
      </w:r>
      <w:r>
        <w:t xml:space="preserve">app. These briefs generated a 58% higher retention rate among Amsterdam users.</w:t>
      </w:r>
    </w:p>
    <w:p>
      <w:pPr>
        <w:numPr>
          <w:ilvl w:val="0"/>
          <w:numId w:val="1002"/>
        </w:numPr>
        <w:pStyle w:val="Compact"/>
      </w:pPr>
      <w:r>
        <w:rPr>
          <w:bCs/>
          <w:b/>
        </w:rPr>
        <w:t xml:space="preserve">Strategic Partnerships:</w:t>
      </w:r>
      <w:r>
        <w:t xml:space="preserve"> </w:t>
      </w:r>
      <w:r>
        <w:t xml:space="preserve">Collaborations with Amsterdam-based institutions like the Amsterdam Institute of Finance (AIF) for co-branded webinars on "Global Markets in Dutch Context." This drove 1,200+ new leads in Q3 alone.</w:t>
      </w:r>
    </w:p>
    <w:p>
      <w:pPr>
        <w:numPr>
          <w:ilvl w:val="0"/>
          <w:numId w:val="1002"/>
        </w:numPr>
        <w:pStyle w:val="Compact"/>
      </w:pPr>
      <w:r>
        <w:rPr>
          <w:bCs/>
          <w:b/>
        </w:rPr>
        <w:t xml:space="preserve">Dutch-Language Digital Content:</w:t>
      </w:r>
      <w:r>
        <w:t xml:space="preserve"> </w:t>
      </w:r>
      <w:r>
        <w:t xml:space="preserve">Launch of a curated digital newsletter ("The Economist NL") featuring summaries of key articles in Dutch. This initiative contributed to a 29% rise in conversions among non-English-speaking Dutch professionals.</w:t>
      </w:r>
    </w:p>
    <w:bookmarkEnd w:id="23"/>
    <w:bookmarkStart w:id="24" w:name="challenges-competitive-landscape"/>
    <w:p>
      <w:pPr>
        <w:pStyle w:val="Heading2"/>
      </w:pPr>
      <w:r>
        <w:t xml:space="preserve">Challenges &amp; Competitive Landscape</w:t>
      </w:r>
    </w:p>
    <w:p>
      <w:pPr>
        <w:pStyle w:val="FirstParagraph"/>
      </w:pPr>
      <w:r>
        <w:t xml:space="preserve">Despite growth, challenges persist. The Netherlands’ competitive media landscape—including strong local publications like</w:t>
      </w:r>
      <w:r>
        <w:t xml:space="preserve"> </w:t>
      </w:r>
      <w:r>
        <w:rPr>
          <w:iCs/>
          <w:i/>
        </w:rPr>
        <w:t xml:space="preserve">Business Insider Netherlands</w:t>
      </w:r>
      <w:r>
        <w:t xml:space="preserve"> </w:t>
      </w:r>
      <w:r>
        <w:t xml:space="preserve">and</w:t>
      </w:r>
      <w:r>
        <w:t xml:space="preserve"> </w:t>
      </w:r>
      <w:r>
        <w:rPr>
          <w:iCs/>
          <w:i/>
        </w:rPr>
        <w:t xml:space="preserve">Economisch Statistisch Bulletin</w:t>
      </w:r>
      <w:r>
        <w:t xml:space="preserve">—requires continuous differentiation. This Sales Report notes that 31% of lapsed subscribers cited "lack of Dutch-language accessibility" as a key factor, prompting accelerated investment in localized content. Additionally, subscription fatigue among EU enterprises (a 9% decline industry-wide) was mitigated by</w:t>
      </w:r>
      <w:r>
        <w:t xml:space="preserve"> </w:t>
      </w:r>
      <w:r>
        <w:rPr>
          <w:iCs/>
          <w:i/>
        </w:rPr>
        <w:t xml:space="preserve">The Economist</w:t>
      </w:r>
      <w:r>
        <w:t xml:space="preserve">’s Amsterdam-specific value proposition—proving that hyper-relevant analysis drives retention.</w:t>
      </w:r>
    </w:p>
    <w:bookmarkEnd w:id="24"/>
    <w:bookmarkStart w:id="25" w:name="Xd0944c987fe1ed599d89b385de524f4f4749c7d"/>
    <w:p>
      <w:pPr>
        <w:pStyle w:val="Heading2"/>
      </w:pPr>
      <w:r>
        <w:t xml:space="preserve">Strategic Recommendations for Netherlands Amsterdam Market</w:t>
      </w:r>
    </w:p>
    <w:p>
      <w:pPr>
        <w:pStyle w:val="FirstParagraph"/>
      </w:pPr>
      <w:r>
        <w:t xml:space="preserve">To sustain momentum, this Sales Report recommends:</w:t>
      </w:r>
    </w:p>
    <w:p>
      <w:pPr>
        <w:numPr>
          <w:ilvl w:val="0"/>
          <w:numId w:val="1003"/>
        </w:numPr>
        <w:pStyle w:val="Compact"/>
      </w:pPr>
      <w:r>
        <w:rPr>
          <w:bCs/>
          <w:b/>
        </w:rPr>
        <w:t xml:space="preserve">Expand Dutch Content Integration:</w:t>
      </w:r>
      <w:r>
        <w:t xml:space="preserve"> </w:t>
      </w:r>
      <w:r>
        <w:t xml:space="preserve">Develop a dedicated "Netherlands Economic Pulse" dashboard within the app, featuring real-time data on Dutch export trends and regulatory changes.</w:t>
      </w:r>
    </w:p>
    <w:p>
      <w:pPr>
        <w:numPr>
          <w:ilvl w:val="0"/>
          <w:numId w:val="1003"/>
        </w:numPr>
        <w:pStyle w:val="Compact"/>
      </w:pPr>
      <w:r>
        <w:rPr>
          <w:bCs/>
          <w:b/>
        </w:rPr>
        <w:t xml:space="preserve">Leverage Amsterdam’s Events Ecosystem:</w:t>
      </w:r>
      <w:r>
        <w:t xml:space="preserve"> </w:t>
      </w:r>
      <w:r>
        <w:t xml:space="preserve">Sponsor high-profile events like the Amsterdam International Trade Fair (AITF) with exclusive</w:t>
      </w:r>
      <w:r>
        <w:t xml:space="preserve"> </w:t>
      </w:r>
      <w:r>
        <w:rPr>
          <w:iCs/>
          <w:i/>
        </w:rPr>
        <w:t xml:space="preserve">The Economist</w:t>
      </w:r>
      <w:r>
        <w:t xml:space="preserve"> </w:t>
      </w:r>
      <w:r>
        <w:t xml:space="preserve">analysis booths to capture business travelers.</w:t>
      </w:r>
    </w:p>
    <w:p>
      <w:pPr>
        <w:numPr>
          <w:ilvl w:val="0"/>
          <w:numId w:val="1003"/>
        </w:numPr>
        <w:pStyle w:val="Compact"/>
      </w:pPr>
      <w:r>
        <w:rPr>
          <w:bCs/>
          <w:b/>
        </w:rPr>
        <w:t xml:space="preserve">Corporate Customization:</w:t>
      </w:r>
      <w:r>
        <w:t xml:space="preserve"> </w:t>
      </w:r>
      <w:r>
        <w:t xml:space="preserve">Offer tailored subscription packages for Amsterdam-based firms, including executive briefings on Dutch EU policy negotiations (e.g., Green Deal commitments).</w:t>
      </w:r>
    </w:p>
    <w:bookmarkEnd w:id="25"/>
    <w:bookmarkStart w:id="26" w:name="X7d05035b05b991ace558a948df3877f3fcb1dea"/>
    <w:p>
      <w:pPr>
        <w:pStyle w:val="Heading2"/>
      </w:pPr>
      <w:r>
        <w:t xml:space="preserve">Conclusion: The Economist as Amsterdam’s Strategic Asset</w:t>
      </w:r>
    </w:p>
    <w:p>
      <w:pPr>
        <w:pStyle w:val="FirstParagraph"/>
      </w:pPr>
      <w:r>
        <w:t xml:space="preserve">This Sales Report unequivocally positions</w:t>
      </w:r>
      <w:r>
        <w:t xml:space="preserve"> </w:t>
      </w:r>
      <w:r>
        <w:rPr>
          <w:iCs/>
          <w:i/>
        </w:rPr>
        <w:t xml:space="preserve">The Economist</w:t>
      </w:r>
      <w:r>
        <w:t xml:space="preserve"> </w:t>
      </w:r>
      <w:r>
        <w:t xml:space="preserve">as an indispensable resource for navigating the Netherlands’ complex economic terrain, particularly within Amsterdam. With the city serving as the Netherlands’ commercial epicenter and a gateway to EU policy-making, demand for</w:t>
      </w:r>
      <w:r>
        <w:t xml:space="preserve"> </w:t>
      </w:r>
      <w:r>
        <w:rPr>
          <w:iCs/>
          <w:i/>
        </w:rPr>
        <w:t xml:space="preserve">The Economist</w:t>
      </w:r>
      <w:r>
        <w:t xml:space="preserve">’s analysis remains exceptionally high. Our Q3 results confirm that 89% of Amsterdam subscribers view</w:t>
      </w:r>
      <w:r>
        <w:t xml:space="preserve"> </w:t>
      </w:r>
      <w:r>
        <w:rPr>
          <w:iCs/>
          <w:i/>
        </w:rPr>
        <w:t xml:space="preserve">The Economist</w:t>
      </w:r>
      <w:r>
        <w:t xml:space="preserve"> </w:t>
      </w:r>
      <w:r>
        <w:t xml:space="preserve">as "critical to their decision-making" compared to 74% globally—a testament to the publication’s localized relevance.</w:t>
      </w:r>
    </w:p>
    <w:p>
      <w:pPr>
        <w:pStyle w:val="BodyText"/>
      </w:pPr>
      <w:r>
        <w:t xml:space="preserve">As the Netherlands accelerates its green transition and solidifies its role in EU financial governance, Amsterdam businesses will increasingly rely on</w:t>
      </w:r>
      <w:r>
        <w:t xml:space="preserve"> </w:t>
      </w:r>
      <w:r>
        <w:rPr>
          <w:iCs/>
          <w:i/>
        </w:rPr>
        <w:t xml:space="preserve">The Economist</w:t>
      </w:r>
      <w:r>
        <w:t xml:space="preserve"> </w:t>
      </w:r>
      <w:r>
        <w:t xml:space="preserve">for foresight. This Sales Report concludes that sustained investment in Dutch-market innovation—coupled with deepening ties to Amsterdam’s corporate and academic communities—will ensure</w:t>
      </w:r>
      <w:r>
        <w:t xml:space="preserve"> </w:t>
      </w:r>
      <w:r>
        <w:rPr>
          <w:iCs/>
          <w:i/>
        </w:rPr>
        <w:t xml:space="preserve">The Economist</w:t>
      </w:r>
      <w:r>
        <w:t xml:space="preserve"> </w:t>
      </w:r>
      <w:r>
        <w:t xml:space="preserve">remains the publication of choice for professionals shaping the Netherlands’ economic future. The data is clear: where business matters,</w:t>
      </w:r>
      <w:r>
        <w:t xml:space="preserve"> </w:t>
      </w:r>
      <w:r>
        <w:rPr>
          <w:iCs/>
          <w:i/>
        </w:rPr>
        <w:t xml:space="preserve">The Economist</w:t>
      </w:r>
      <w:r>
        <w:t xml:space="preserve"> </w:t>
      </w:r>
      <w:r>
        <w:t xml:space="preserve">delivers—and Amsterdam proves it every quarter.</w:t>
      </w:r>
    </w:p>
    <w:p>
      <w:pPr>
        <w:pStyle w:val="BodyText"/>
      </w:pPr>
      <w:r>
        <w:rPr>
          <w:bCs/>
          <w:b/>
        </w:rPr>
        <w:t xml:space="preserve">Sales Report Prepared For:</w:t>
      </w:r>
      <w:r>
        <w:t xml:space="preserve"> </w:t>
      </w:r>
      <w:r>
        <w:t xml:space="preserve">The Economist Global Sales Team |</w:t>
      </w:r>
      <w:r>
        <w:t xml:space="preserve"> </w:t>
      </w:r>
      <w:r>
        <w:rPr>
          <w:bCs/>
          <w:b/>
        </w:rPr>
        <w:t xml:space="preserve">Region:</w:t>
      </w:r>
      <w:r>
        <w:t xml:space="preserve"> </w:t>
      </w:r>
      <w:r>
        <w:t xml:space="preserve">Netherlands Amsterdam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Netherlands Amsterdam Market</dc:title>
  <dc:creator/>
  <dc:language>en</dc:language>
  <cp:keywords/>
  <dcterms:created xsi:type="dcterms:W3CDTF">2026-07-21T05:50:38Z</dcterms:created>
  <dcterms:modified xsi:type="dcterms:W3CDTF">2026-07-21T05:50:38Z</dcterms:modified>
</cp:coreProperties>
</file>

<file path=docProps/custom.xml><?xml version="1.0" encoding="utf-8"?>
<Properties xmlns="http://schemas.openxmlformats.org/officeDocument/2006/custom-properties" xmlns:vt="http://schemas.openxmlformats.org/officeDocument/2006/docPropsVTypes"/>
</file>