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7d3d378a45b199b677f1acf43855bf4f9ede81c"/>
    <w:p>
      <w:pPr>
        <w:pStyle w:val="Heading1"/>
      </w:pPr>
      <w:r>
        <w:t xml:space="preserve">Comprehensive Sales Report for The Economist in New Zealand Wellington: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The Economist Global Sales Leadership</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The Economist in New Zealand Wellington during Q3 2023. Despite challenging economic headwinds across Aotearoa, our strategic focus on Wellington’s premium urban market has driven a 14.7% year-over-year increase in subscription sales, with digital subscriptions growing at 28.3%. This performance underscores The Economist's unique positioning as the essential analytical voice for New Zealand Wellington's policy-makers, business leaders, and academic community. As the premier international affairs publication serving New Zealand Wellington, we have solidified our market leadership through hyper-localized content integration and targeted engagement initiatives.</w:t>
      </w:r>
    </w:p>
    <w:bookmarkEnd w:id="20"/>
    <w:bookmarkStart w:id="21" w:name="X5d8af61e8e0d5f046876b2c0521e2b71676a8e3"/>
    <w:p>
      <w:pPr>
        <w:pStyle w:val="Heading2"/>
      </w:pPr>
      <w:r>
        <w:t xml:space="preserve">Key Sales Metrics: New Zealand Wellington Market</w:t>
      </w:r>
    </w:p>
    <w:p>
      <w:pPr>
        <w:pStyle w:val="FirstParagraph"/>
      </w:pPr>
      <w:r>
        <w:t xml:space="preserve">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Subscriptions (Physical + Digital)</w:t>
      </w:r>
    </w:p>
    <w:p>
      <w:pPr>
        <w:pStyle w:val="BodyText"/>
      </w:pPr>
      <w:r>
        <w:t xml:space="preserve">8,415</w:t>
      </w:r>
    </w:p>
    <w:p>
      <w:pPr>
        <w:pStyle w:val="BodyText"/>
      </w:pPr>
      <w:r>
        <w:t xml:space="preserve">7,334</w:t>
      </w:r>
    </w:p>
    <w:p>
      <w:pPr>
        <w:pStyle w:val="BodyText"/>
      </w:pPr>
      <w:r>
        <w:t xml:space="preserve">+14.7%</w:t>
      </w:r>
    </w:p>
    <w:p>
      <w:pPr>
        <w:pStyle w:val="BodyText"/>
      </w:pPr>
      <w:r>
        <w:t xml:space="preserve">Digital Subscriptions</w:t>
      </w:r>
    </w:p>
    <w:p>
      <w:pPr>
        <w:pStyle w:val="BodyText"/>
      </w:pPr>
      <w:r>
        <w:t xml:space="preserve">t 6,920</w:t>
      </w:r>
    </w:p>
    <w:p>
      <w:pPr>
        <w:pStyle w:val="BodyText"/>
      </w:pPr>
      <w:r>
        <w:t xml:space="preserve">Total Revenue (NZD)</w:t>
      </w:r>
    </w:p>
    <w:p>
      <w:pPr>
        <w:pStyle w:val="BodyText"/>
      </w:pPr>
      <w:r>
        <w:t xml:space="preserve">$1,285,000</w:t>
      </w:r>
    </w:p>
    <w:p>
      <w:pPr>
        <w:pStyle w:val="BodyText"/>
      </w:pPr>
      <w:r>
        <w:t xml:space="preserve">$1,123,456</w:t>
      </w:r>
    </w:p>
    <w:p>
      <w:pPr>
        <w:pStyle w:val="BodyText"/>
      </w:pPr>
      <w:r>
        <w:t xml:space="preserve">+14.4%</w:t>
      </w:r>
    </w:p>
    <w:p>
      <w:pPr>
        <w:pStyle w:val="BodyText"/>
      </w:pPr>
      <w:r>
        <w:t xml:space="preserve">Wellington Business Sector Growth</w:t>
      </w:r>
    </w:p>
    <w:p>
      <w:pPr>
        <w:pStyle w:val="BodyText"/>
      </w:pPr>
      <w:r>
        <w:t xml:space="preserve">32.8%</w:t>
      </w:r>
    </w:p>
    <w:p>
      <w:pPr>
        <w:pStyle w:val="BodyText"/>
      </w:pPr>
      <w:r>
        <w:t xml:space="preserve">9.7%</w:t>
      </w:r>
    </w:p>
    <w:p>
      <w:pPr>
        <w:pStyle w:val="BodyText"/>
      </w:pPr>
      <w:r>
        <w:t xml:space="preserve">University/Research Institutional Sales</w:t>
      </w:r>
    </w:p>
    <w:p>
      <w:pPr>
        <w:pStyle w:val="BodyText"/>
      </w:pPr>
      <w:r>
        <w:t xml:space="preserve">$185,000</w:t>
      </w:r>
    </w:p>
    <w:p>
      <w:pPr>
        <w:pStyle w:val="BodyText"/>
      </w:pPr>
      <w:r>
        <w:t xml:space="preserve">&lt;</w:t>
      </w:r>
    </w:p>
    <w:p>
      <w:pPr>
        <w:pStyle w:val="BodyText"/>
      </w:pPr>
      <w:r>
        <w:t xml:space="preserve">$142,500</w:t>
      </w:r>
    </w:p>
    <w:bookmarkEnd w:id="21"/>
    <w:bookmarkStart w:id="22" w:name="X7fef430adf77eab7f855befb27309f8a9ba68ea"/>
    <w:p>
      <w:pPr>
        <w:pStyle w:val="Heading2"/>
      </w:pPr>
      <w:r>
        <w:t xml:space="preserve">Demand Drivers in New Zealand Wellington: Why The Economist Succeeds</w:t>
      </w:r>
    </w:p>
    <w:p>
      <w:pPr>
        <w:pStyle w:val="FirstParagraph"/>
      </w:pPr>
      <w:r>
        <w:t xml:space="preserve">Wellington’s unique ecosystem has amplified The Economist’s relevance. As New Zealand's political and administrative capital, the city hosts 68% of national government agencies, 7 of the top 10 universities (including Victoria University and Massey), and major multinational corporate headquarters. This concentration creates a voracious appetite for nuanced geopolitical analysis – precisely what The Economist delivers.</w:t>
      </w:r>
    </w:p>
    <w:p>
      <w:pPr>
        <w:pStyle w:val="BodyText"/>
      </w:pPr>
      <w:r>
        <w:t xml:space="preserve">Our Q3 growth was propelled by three key factors:</w:t>
      </w:r>
    </w:p>
    <w:p>
      <w:pPr>
        <w:numPr>
          <w:ilvl w:val="0"/>
          <w:numId w:val="1001"/>
        </w:numPr>
        <w:pStyle w:val="Compact"/>
      </w:pPr>
      <w:r>
        <w:rPr>
          <w:bCs/>
          <w:b/>
        </w:rPr>
        <w:t xml:space="preserve">Policy-Relevant Content:</w:t>
      </w:r>
      <w:r>
        <w:t xml:space="preserve"> </w:t>
      </w:r>
      <w:r>
        <w:t xml:space="preserve">Articles analyzing the NZ Government’s new Clean Energy Target and the Australia-New Zealand trade pact (CPTPP) generated 42% more engagement than general international coverage. Wellington-based readers consistently cite The Economist's "ability to connect global trends to New Zealand's specific challenges" as their primary purchase driver.</w:t>
      </w:r>
    </w:p>
    <w:p>
      <w:pPr>
        <w:numPr>
          <w:ilvl w:val="0"/>
          <w:numId w:val="1001"/>
        </w:numPr>
        <w:pStyle w:val="Compact"/>
      </w:pPr>
      <w:r>
        <w:rPr>
          <w:bCs/>
          <w:b/>
        </w:rPr>
        <w:t xml:space="preserve">Local Partnership Strategy:</w:t>
      </w:r>
      <w:r>
        <w:t xml:space="preserve"> </w:t>
      </w:r>
      <w:r>
        <w:t xml:space="preserve">Collaborations with Wellington institutions (e.g., the New Zealand Institute of Economic Policy and the Wellington City Council) produced co-branded events. Our "Wellington Policy Briefing Series" attracted 1,245 attendees, converting 38% into subscriptions.</w:t>
      </w:r>
    </w:p>
    <w:p>
      <w:pPr>
        <w:numPr>
          <w:ilvl w:val="0"/>
          <w:numId w:val="1001"/>
        </w:numPr>
        <w:pStyle w:val="Compact"/>
      </w:pPr>
      <w:r>
        <w:rPr>
          <w:bCs/>
          <w:b/>
        </w:rPr>
        <w:t xml:space="preserve">Hybrid Subscription Model:</w:t>
      </w:r>
      <w:r>
        <w:t xml:space="preserve"> </w:t>
      </w:r>
      <w:r>
        <w:t xml:space="preserve">The Economist’s "Wellington Insider Bundle" (physical print + digital access + exclusive Wellington policy webinars) achieved a 65% renewal rate – significantly above the global average of 48%.</w:t>
      </w:r>
    </w:p>
    <w:bookmarkEnd w:id="22"/>
    <w:bookmarkStart w:id="23" w:name="competitive-landscape-analysis"/>
    <w:p>
      <w:pPr>
        <w:pStyle w:val="Heading2"/>
      </w:pPr>
      <w:r>
        <w:t xml:space="preserve">Competitive Landscape Analysis</w:t>
      </w:r>
    </w:p>
    <w:p>
      <w:pPr>
        <w:pStyle w:val="FirstParagraph"/>
      </w:pPr>
      <w:r>
        <w:t xml:space="preserve">The Economist’s sales in New Zealand Wellington outpaced all competitors. While The New Zealand Herald and BusinessDesk maintain higher circulation numbers, they lack The Economist's analytical depth on international affairs critical to Wellington's decision-makers. Our Q3 market share among premium business intelligence products rose from 31% to 42%, with competitor analysis showing:</w:t>
      </w:r>
    </w:p>
    <w:p>
      <w:pPr>
        <w:numPr>
          <w:ilvl w:val="0"/>
          <w:numId w:val="1002"/>
        </w:numPr>
        <w:pStyle w:val="Compact"/>
      </w:pPr>
      <w:r>
        <w:t xml:space="preserve">BusinessDesk: Focused on domestic news; missed key international trade developments affecting Wellington.</w:t>
      </w:r>
    </w:p>
    <w:p>
      <w:pPr>
        <w:numPr>
          <w:ilvl w:val="0"/>
          <w:numId w:val="1002"/>
        </w:numPr>
        <w:pStyle w:val="Compact"/>
      </w:pPr>
      <w:r>
        <w:t xml:space="preserve">New Zealand Listener: Strong in cultural analysis but lacks economic rigor demanded by Wellington policymakers.</w:t>
      </w:r>
    </w:p>
    <w:p>
      <w:pPr>
        <w:numPr>
          <w:ilvl w:val="0"/>
          <w:numId w:val="1002"/>
        </w:numPr>
        <w:pStyle w:val="Compact"/>
      </w:pPr>
      <w:r>
        <w:t xml:space="preserve">Foreign Publications (e.g., Financial Times): Higher price points alienated budget-conscious Wellington institutions.</w:t>
      </w:r>
    </w:p>
    <w:bookmarkEnd w:id="23"/>
    <w:bookmarkStart w:id="24" w:name="strategic-initiatives-driving-growth"/>
    <w:p>
      <w:pPr>
        <w:pStyle w:val="Heading2"/>
      </w:pPr>
      <w:r>
        <w:t xml:space="preserve">Strategic Initiatives Driving Growth</w:t>
      </w:r>
    </w:p>
    <w:p>
      <w:pPr>
        <w:pStyle w:val="FirstParagraph"/>
      </w:pPr>
      <w:r>
        <w:t xml:space="preserve">To maintain momentum, The Economist implemented three targeted initiatives in New Zealand Wellington:</w:t>
      </w:r>
    </w:p>
    <w:p>
      <w:pPr>
        <w:numPr>
          <w:ilvl w:val="0"/>
          <w:numId w:val="1003"/>
        </w:numPr>
        <w:pStyle w:val="Compact"/>
      </w:pPr>
      <w:r>
        <w:rPr>
          <w:bCs/>
          <w:b/>
        </w:rPr>
        <w:t xml:space="preserve">Wellington Policy Digest:</w:t>
      </w:r>
      <w:r>
        <w:t xml:space="preserve"> </w:t>
      </w:r>
      <w:r>
        <w:t xml:space="preserve">A weekly email summarizing global developments with direct application to New Zealand's legislative calendar. Achieved 78% open rates and 22% conversion to paid subscriptions among non-subscribers.</w:t>
      </w:r>
    </w:p>
    <w:p>
      <w:pPr>
        <w:numPr>
          <w:ilvl w:val="0"/>
          <w:numId w:val="1003"/>
        </w:numPr>
        <w:pStyle w:val="Compact"/>
      </w:pPr>
      <w:r>
        <w:rPr>
          <w:bCs/>
          <w:b/>
        </w:rPr>
        <w:t xml:space="preserve">Institutional Partnership Program:</w:t>
      </w:r>
      <w:r>
        <w:t xml:space="preserve"> </w:t>
      </w:r>
      <w:r>
        <w:t xml:space="preserve">Customized access for Wellington’s key bodies (e.g., Treasury, MBIE). This secured five new institutional contracts totaling $512,000 in annual revenue.</w:t>
      </w:r>
    </w:p>
    <w:p>
      <w:pPr>
        <w:numPr>
          <w:ilvl w:val="0"/>
          <w:numId w:val="1003"/>
        </w:numPr>
        <w:pStyle w:val="Compact"/>
      </w:pPr>
      <w:r>
        <w:rPr>
          <w:bCs/>
          <w:b/>
        </w:rPr>
        <w:t xml:space="preserve">Local Journalism Integration:</w:t>
      </w:r>
      <w:r>
        <w:t xml:space="preserve"> </w:t>
      </w:r>
      <w:r>
        <w:t xml:space="preserve">Hiring a dedicated Wellington-based Senior Correspondent to file exclusive reports on local issues (e.g., "Wellington Waterfront Development: Global Lessons for New Zealand"). These pieces drove 19% of new digital subscriptions.</w:t>
      </w:r>
    </w:p>
    <w:bookmarkEnd w:id="24"/>
    <w:bookmarkStart w:id="25" w:name="challenges-and-adaptive-responses"/>
    <w:p>
      <w:pPr>
        <w:pStyle w:val="Heading2"/>
      </w:pPr>
      <w:r>
        <w:t xml:space="preserve">Challenges and Adaptive Responses</w:t>
      </w:r>
    </w:p>
    <w:p>
      <w:pPr>
        <w:pStyle w:val="FirstParagraph"/>
      </w:pPr>
      <w:r>
        <w:t xml:space="preserve">The Wellington market presented unique hurdles. Inflationary pressures reduced discretionary spending by 18% among small businesses – a critical customer segment. Additionally, New Zealand's strict data privacy laws (Privacy Act 2020) required significant adjustments to our digital marketing strategy.</w:t>
      </w:r>
    </w:p>
    <w:p>
      <w:pPr>
        <w:pStyle w:val="BodyText"/>
      </w:pPr>
      <w:r>
        <w:t xml:space="preserve">Our solutions included:</w:t>
      </w:r>
    </w:p>
    <w:p>
      <w:pPr>
        <w:numPr>
          <w:ilvl w:val="0"/>
          <w:numId w:val="1004"/>
        </w:numPr>
        <w:pStyle w:val="Compact"/>
      </w:pPr>
      <w:r>
        <w:t xml:space="preserve">Introducing tiered pricing for Wellington SMEs: "Essential" ($19.99/month) and "Professional" ($34.99/month) bundles, increasing small business sign-ups by 27%.</w:t>
      </w:r>
    </w:p>
    <w:p>
      <w:pPr>
        <w:numPr>
          <w:ilvl w:val="0"/>
          <w:numId w:val="1004"/>
        </w:numPr>
        <w:pStyle w:val="Compact"/>
      </w:pPr>
      <w:r>
        <w:t xml:space="preserve">Implementing GDPR-compliant data handling protocols (exceeding NZ requirements), which boosted institutional trust and reduced unsubscribe rates by 31%.</w:t>
      </w:r>
    </w:p>
    <w:bookmarkEnd w:id="25"/>
    <w:bookmarkStart w:id="26" w:name="X2a7ea4d3783475122ee98a2e59fb7d73876abf0"/>
    <w:p>
      <w:pPr>
        <w:pStyle w:val="Heading2"/>
      </w:pPr>
      <w:r>
        <w:t xml:space="preserve">Future Outlook: New Zealand Wellington Expansion Plan</w:t>
      </w:r>
    </w:p>
    <w:p>
      <w:pPr>
        <w:pStyle w:val="FirstParagraph"/>
      </w:pPr>
      <w:r>
        <w:t xml:space="preserve">The Economist’s growth trajectory in New Zealand Wellington is accelerating. Our Q4 2023 target includes:</w:t>
      </w:r>
    </w:p>
    <w:p>
      <w:pPr>
        <w:numPr>
          <w:ilvl w:val="0"/>
          <w:numId w:val="1005"/>
        </w:numPr>
        <w:pStyle w:val="Compact"/>
      </w:pPr>
      <w:r>
        <w:t xml:space="preserve">Achieving 10,000 subscriptions in Wellington by Q1 2024 (current: 8,415)</w:t>
      </w:r>
    </w:p>
    <w:p>
      <w:pPr>
        <w:numPr>
          <w:ilvl w:val="0"/>
          <w:numId w:val="1005"/>
        </w:numPr>
        <w:pStyle w:val="Compact"/>
      </w:pPr>
      <w:r>
        <w:t xml:space="preserve">Securing three new institutional contracts with major universities</w:t>
      </w:r>
    </w:p>
    <w:p>
      <w:pPr>
        <w:numPr>
          <w:ilvl w:val="0"/>
          <w:numId w:val="1005"/>
        </w:numPr>
        <w:pStyle w:val="Compact"/>
      </w:pPr>
      <w:r>
        <w:t xml:space="preserve">Launching "The Economist Wellington Economic Forum" – a quarterly summit featuring Prime Minister Jacinda Ardern and global leaders, targeting high-net-worth Wellington residents.</w:t>
      </w:r>
    </w:p>
    <w:p>
      <w:pPr>
        <w:pStyle w:val="FirstParagraph"/>
      </w:pPr>
      <w:r>
        <w:t xml:space="preserve">This growth will be funded through strategic partnerships with New Zealand technology firms (e.g., Xero, Rocket Lab), who value The Economist's audience for premium B2B marketing. We project a 17% compound annual growth rate in the Wellington market through 2025.</w:t>
      </w:r>
    </w:p>
    <w:bookmarkEnd w:id="26"/>
    <w:bookmarkStart w:id="28" w:name="Xb7e7ddc5d96082f0a658ab4d8ac6a471ab65f9f"/>
    <w:p>
      <w:pPr>
        <w:pStyle w:val="Heading2"/>
      </w:pPr>
      <w:r>
        <w:t xml:space="preserve">Conclusion: The Economist as Wellington’s Strategic Asset</w:t>
      </w:r>
    </w:p>
    <w:p>
      <w:pPr>
        <w:pStyle w:val="FirstParagraph"/>
      </w:pPr>
      <w:r>
        <w:t xml:space="preserve">This Sales Report confirms that The Economist is not merely a publication in New Zealand Wellington – it is an indispensable strategic asset for the city's economic and policy ecosystem. Our Q3 performance demonstrates that when global insights are tailored to Wellington's specific geopolitical context, sales success follows inevitably. As New Zealand Wellington navigates complex transitions in trade, climate policy, and digital transformation, The Economist’s role as the analytical compass for informed decision-making will only deepen.</w:t>
      </w:r>
    </w:p>
    <w:p>
      <w:pPr>
        <w:pStyle w:val="BodyText"/>
      </w:pPr>
      <w:r>
        <w:t xml:space="preserve">With our unique positioning serving the entire spectrum of New Zealand Wellington’s leadership community – from parliamentarians to university researchers to multinational executives – we are confident that this Sales Report marks just the beginning of The Economist's long-term dominance in New Zealand’s capital city. We stand ready to scale these proven strategies across all major New Zealand urban centers while maintaining our unshakeable focus on Wellington as the epicenter of our national growth.</w:t>
      </w:r>
    </w:p>
    <w:bookmarkStart w:id="27" w:name="prepared-by"/>
    <w:p>
      <w:pPr>
        <w:pStyle w:val="Heading3"/>
      </w:pPr>
      <w:r>
        <w:t xml:space="preserve">Prepared By:</w:t>
      </w:r>
    </w:p>
    <w:p>
      <w:pPr>
        <w:pStyle w:val="FirstParagraph"/>
      </w:pPr>
      <w:r>
        <w:t xml:space="preserve">Alexandra Chen, Regional Sales Director (Australasia)</w:t>
      </w:r>
      <w:r>
        <w:br/>
      </w:r>
      <w:r>
        <w:t xml:space="preserve">The Economist Group</w:t>
      </w:r>
      <w:r>
        <w:br/>
      </w:r>
      <w:r>
        <w:t xml:space="preserve">Email: alex.chen@economist.com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The Economist in New Zealand Wellington</dc:title>
  <dc:creator/>
  <dc:language>en</dc:language>
  <cp:keywords/>
  <dcterms:created xsi:type="dcterms:W3CDTF">2026-07-25T01:00:47Z</dcterms:created>
  <dcterms:modified xsi:type="dcterms:W3CDTF">2026-07-25T01:00:47Z</dcterms:modified>
</cp:coreProperties>
</file>

<file path=docProps/custom.xml><?xml version="1.0" encoding="utf-8"?>
<Properties xmlns="http://schemas.openxmlformats.org/officeDocument/2006/custom-properties" xmlns:vt="http://schemas.openxmlformats.org/officeDocument/2006/docPropsVTypes"/>
</file>