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Economist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  <w:r>
        <w:t xml:space="preserve"> </w:t>
      </w:r>
      <w:r>
        <w:t xml:space="preserve">Market</w:t>
      </w:r>
      <w:r>
        <w:t xml:space="preserve"> </w:t>
      </w:r>
      <w:r>
        <w:t xml:space="preserve">Performance</w:t>
      </w:r>
    </w:p>
    <w:bookmarkStart w:id="35" w:name="Xcc83b30e50d0b803ea0c83c2c812a85f4222ca9"/>
    <w:p>
      <w:pPr>
        <w:pStyle w:val="Heading1"/>
      </w:pPr>
      <w:r>
        <w:t xml:space="preserve">Comprehensive Sales Report: The Economist in Peru Lima (Q3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of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in the Lima market during Q3 2023, highlighting strategic achievements, market dynamics, and future growth opportunities. Despite regional economic headwinds,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subscription base in Peru Lima grew by 12.7% compared to Q2 2023, significantly outperforming the national average of 4.3%. This report confirms Lima's position as a critical growth engine for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in Latin America, driven by sophisticated business communities and expanding digital engagement.</w:t>
      </w:r>
    </w:p>
    <w:bookmarkEnd w:id="20"/>
    <w:bookmarkStart w:id="21" w:name="X48ea684d00c532e6a806cd27cfa23d7dc0dae81"/>
    <w:p>
      <w:pPr>
        <w:pStyle w:val="Heading2"/>
      </w:pPr>
      <w:r>
        <w:t xml:space="preserve">Current Sales Performance: Peru Lima Market Snapshot</w:t>
      </w:r>
    </w:p>
    <w:p>
      <w:pPr>
        <w:pStyle w:val="FirstParagraph"/>
      </w:pPr>
      <w:r>
        <w:t xml:space="preserve">Lima accounts for 68% of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total subscriptions in Peru, reflecting its status as the country's economic and diplomatic hub. Our Q3 2023 sales data reveals: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Subscription Growth:</w:t>
      </w:r>
      <w:r>
        <w:t xml:space="preserve"> </w:t>
      </w:r>
      <w:r>
        <w:t xml:space="preserve">+12.7% YoY (vs. 5.1% national average)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Subscriptions:</w:t>
      </w:r>
      <w:r>
        <w:t xml:space="preserve"> </w:t>
      </w:r>
      <w:r>
        <w:t xml:space="preserve">76% of total Lima subscriptions (up from 69% in Q2)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Segments:</w:t>
      </w:r>
      <w:r>
        <w:t xml:space="preserve"> </w:t>
      </w:r>
      <w:r>
        <w:t xml:space="preserve">Corporate (48%), Government/Policy Makers (28%), Academia (15%), High-Net-Worth Individuals (9%)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Contribution:</w:t>
      </w:r>
      <w:r>
        <w:t xml:space="preserve"> </w:t>
      </w:r>
      <w:r>
        <w:t xml:space="preserve">$317,000 USD in Q3, representing 72% of Peru's total revenue</w:t>
      </w:r>
    </w:p>
    <w:bookmarkEnd w:id="21"/>
    <w:bookmarkStart w:id="24" w:name="X1c3742afebd4a79060f4b9de779aae1979d5ac0"/>
    <w:p>
      <w:pPr>
        <w:pStyle w:val="Heading2"/>
      </w:pPr>
      <w:r>
        <w:t xml:space="preserve">Market Analysis: Why The Economist Resonates in Lima</w:t>
      </w:r>
    </w:p>
    <w:p>
      <w:pPr>
        <w:pStyle w:val="FirstParagraph"/>
      </w:pPr>
      <w:r>
        <w:t xml:space="preserve">Lima's unique economic ecosystem makes it a prime market for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. As the headquarters for 83% of Peru's Fortune 500 companies and the seat of national government, decision-makers demand authoritative global insights. Our data shows:</w:t>
      </w:r>
    </w:p>
    <w:bookmarkStart w:id="22" w:name="Xfc8614da0e78481c756d222d57583e4ee8e8c0e"/>
    <w:p>
      <w:pPr>
        <w:pStyle w:val="Heading3"/>
      </w:pPr>
      <w:r>
        <w:t xml:space="preserve">1. Strategic Alignment with Lima's Economic Landscape</w:t>
      </w:r>
    </w:p>
    <w:p>
      <w:pPr>
        <w:pStyle w:val="FirstParagraph"/>
      </w:pPr>
      <w:r>
        <w:t xml:space="preserve">Peru Lima faces complex challenges: post-pandemic recovery, infrastructure investment needs (Lima's 2025 urban plan), and ESG compliance demands.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coverage of these topics generates 43% higher engagement among Lima subscribers versus regional peers. For example, our September report "Peru's Infrastructure Leap: The Lima Advantage" drove a 31% surge in digital logins from government agencies.</w:t>
      </w:r>
    </w:p>
    <w:bookmarkEnd w:id="22"/>
    <w:bookmarkStart w:id="23" w:name="digital-transformation-acceleration"/>
    <w:p>
      <w:pPr>
        <w:pStyle w:val="Heading3"/>
      </w:pPr>
      <w:r>
        <w:t xml:space="preserve">2. Digital Transformation Acceleration</w:t>
      </w:r>
    </w:p>
    <w:p>
      <w:pPr>
        <w:pStyle w:val="FirstParagraph"/>
      </w:pPr>
      <w:r>
        <w:t xml:space="preserve">Lima's tech-savvy professionals (78% internet penetration vs. Peru average 65%) embrace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mobile-first strategy. The Lima team reported:</w:t>
      </w:r>
    </w:p>
    <w:p>
      <w:pPr>
        <w:numPr>
          <w:ilvl w:val="0"/>
          <w:numId w:val="1002"/>
        </w:numPr>
        <w:pStyle w:val="Compact"/>
      </w:pPr>
      <w:r>
        <w:t xml:space="preserve">Mobile app usage up 29% in Q3 (driven by fintech sector)</w:t>
      </w:r>
    </w:p>
    <w:p>
      <w:pPr>
        <w:numPr>
          <w:ilvl w:val="0"/>
          <w:numId w:val="1002"/>
        </w:numPr>
        <w:pStyle w:val="Compact"/>
      </w:pPr>
      <w:r>
        <w:t xml:space="preserve">Weekly digital newsletter open rates: 41% (vs. global average 28%)</w:t>
      </w:r>
    </w:p>
    <w:p>
      <w:pPr>
        <w:numPr>
          <w:ilvl w:val="0"/>
          <w:numId w:val="1002"/>
        </w:numPr>
        <w:pStyle w:val="Compact"/>
      </w:pPr>
      <w:r>
        <w:t xml:space="preserve">New "Lima Focus" podcast series reached 15,000 downloads in September</w:t>
      </w:r>
    </w:p>
    <w:bookmarkEnd w:id="23"/>
    <w:bookmarkEnd w:id="24"/>
    <w:bookmarkStart w:id="28" w:name="X2eb513ce1e1a757f0ea1ffaf6a85ee3073a31d4"/>
    <w:p>
      <w:pPr>
        <w:pStyle w:val="Heading2"/>
      </w:pPr>
      <w:r>
        <w:t xml:space="preserve">Challenges and Competitive Pressures in Peru Lima</w:t>
      </w:r>
    </w:p>
    <w:p>
      <w:pPr>
        <w:pStyle w:val="FirstParagraph"/>
      </w:pPr>
      <w:r>
        <w:t xml:space="preserve">Despite growth, three key challenges require strategic attention:</w:t>
      </w:r>
    </w:p>
    <w:bookmarkStart w:id="25" w:name="a.-currency-volatility-impact"/>
    <w:p>
      <w:pPr>
        <w:pStyle w:val="Heading3"/>
      </w:pPr>
      <w:r>
        <w:t xml:space="preserve">A. Currency Volatility Impact</w:t>
      </w:r>
    </w:p>
    <w:p>
      <w:pPr>
        <w:pStyle w:val="FirstParagraph"/>
      </w:pPr>
      <w:r>
        <w:t xml:space="preserve">The PEN/USD exchange rate fluctuation (8.5% depreciation in Q3) increased subscription costs for Lima's corporate clients by 10-15%. This led to a temporary 7% churn rate among small/medium enterprises (SMEs), though strategic pricing adjustments recovered 82% of these accounts.</w:t>
      </w:r>
    </w:p>
    <w:bookmarkEnd w:id="25"/>
    <w:bookmarkStart w:id="26" w:name="b.-competitor-incursion"/>
    <w:p>
      <w:pPr>
        <w:pStyle w:val="Heading3"/>
      </w:pPr>
      <w:r>
        <w:t xml:space="preserve">B. Competitor Incursion</w:t>
      </w:r>
    </w:p>
    <w:p>
      <w:pPr>
        <w:pStyle w:val="FirstParagraph"/>
      </w:pPr>
      <w:r>
        <w:t xml:space="preserve">Local publications like "El Comercio" have launched premium economics sections, capturing 14% of Lima's enterprise readership. However, our competitive analysis shows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global perspective remains unmatched—92% of subscribers cite "international context" as the primary reason for renewal.</w:t>
      </w:r>
    </w:p>
    <w:bookmarkEnd w:id="26"/>
    <w:bookmarkStart w:id="27" w:name="c.-content-relevance-gap"/>
    <w:p>
      <w:pPr>
        <w:pStyle w:val="Heading3"/>
      </w:pPr>
      <w:r>
        <w:t xml:space="preserve">C. Content Relevance Gap</w:t>
      </w:r>
    </w:p>
    <w:p>
      <w:pPr>
        <w:pStyle w:val="FirstParagraph"/>
      </w:pPr>
      <w:r>
        <w:t xml:space="preserve">Survey data reveals 67% of Lima's government subscribers want more Peru-specific analytics, particularly on mining regulations and trade agreements (e.g., CPTPP). Only 22% feel current content meets these needs.</w:t>
      </w:r>
    </w:p>
    <w:bookmarkEnd w:id="27"/>
    <w:bookmarkEnd w:id="28"/>
    <w:bookmarkStart w:id="32" w:name="Xd5ed1a8db1c3d8e4212f01cbdaa04d7ad4cbca4"/>
    <w:p>
      <w:pPr>
        <w:pStyle w:val="Heading2"/>
      </w:pPr>
      <w:r>
        <w:t xml:space="preserve">Strategic Recommendations for Lima Market Growth</w:t>
      </w:r>
    </w:p>
    <w:p>
      <w:pPr>
        <w:pStyle w:val="FirstParagraph"/>
      </w:pPr>
      <w:r>
        <w:t xml:space="preserve">To capitalize on this momentum, we propose the following targeted initiatives:</w:t>
      </w:r>
    </w:p>
    <w:bookmarkStart w:id="29" w:name="hyperlocal-content-expansion"/>
    <w:p>
      <w:pPr>
        <w:pStyle w:val="Heading3"/>
      </w:pPr>
      <w:r>
        <w:t xml:space="preserve">1. Hyperlocal Content Expansion</w:t>
      </w:r>
    </w:p>
    <w:p>
      <w:pPr>
        <w:pStyle w:val="FirstParagraph"/>
      </w:pPr>
      <w:r>
        <w:t xml:space="preserve">Create dedicated "Peru Lima Brief" digital series featuring:</w:t>
      </w:r>
    </w:p>
    <w:p>
      <w:pPr>
        <w:numPr>
          <w:ilvl w:val="0"/>
          <w:numId w:val="1003"/>
        </w:numPr>
        <w:pStyle w:val="Compact"/>
      </w:pPr>
      <w:r>
        <w:t xml:space="preserve">Weekly analysis of Lima's investment climate (e.g., Port of Callao developments)</w:t>
      </w:r>
    </w:p>
    <w:p>
      <w:pPr>
        <w:numPr>
          <w:ilvl w:val="0"/>
          <w:numId w:val="1003"/>
        </w:numPr>
        <w:pStyle w:val="Compact"/>
      </w:pPr>
      <w:r>
        <w:t xml:space="preserve">Customized trade data visualizations for SMEs</w:t>
      </w:r>
    </w:p>
    <w:p>
      <w:pPr>
        <w:numPr>
          <w:ilvl w:val="0"/>
          <w:numId w:val="1003"/>
        </w:numPr>
        <w:pStyle w:val="Compact"/>
      </w:pPr>
      <w:r>
        <w:t xml:space="preserve">Monthly webinars with Peruvian economists (partnering with Pontificia Universidad Católica de Lima)</w:t>
      </w:r>
    </w:p>
    <w:bookmarkEnd w:id="29"/>
    <w:bookmarkStart w:id="30" w:name="corporate-partnership-program"/>
    <w:p>
      <w:pPr>
        <w:pStyle w:val="Heading3"/>
      </w:pPr>
      <w:r>
        <w:t xml:space="preserve">2. Corporate Partnership Program</w:t>
      </w:r>
    </w:p>
    <w:p>
      <w:pPr>
        <w:pStyle w:val="FirstParagraph"/>
      </w:pPr>
      <w:r>
        <w:t xml:space="preserve">Launch a tailored "Lima Corporate Circle" program offering:</w:t>
      </w:r>
    </w:p>
    <w:p>
      <w:pPr>
        <w:numPr>
          <w:ilvl w:val="0"/>
          <w:numId w:val="1004"/>
        </w:numPr>
        <w:pStyle w:val="Compact"/>
      </w:pPr>
      <w:r>
        <w:t xml:space="preserve">Exclusive access to Peru-focused data analytics tools</w:t>
      </w:r>
    </w:p>
    <w:p>
      <w:pPr>
        <w:numPr>
          <w:ilvl w:val="0"/>
          <w:numId w:val="1004"/>
        </w:numPr>
        <w:pStyle w:val="Compact"/>
      </w:pPr>
      <w:r>
        <w:t xml:space="preserve">Dedicated account management for Fortune 500 Lima offices</w:t>
      </w:r>
    </w:p>
    <w:p>
      <w:pPr>
        <w:numPr>
          <w:ilvl w:val="0"/>
          <w:numId w:val="1004"/>
        </w:numPr>
        <w:pStyle w:val="Compact"/>
      </w:pPr>
      <w:r>
        <w:t xml:space="preserve">Customized subscription bundles (e.g., "Mining &amp; Infrastructure Package")</w:t>
      </w:r>
    </w:p>
    <w:bookmarkEnd w:id="30"/>
    <w:bookmarkStart w:id="31" w:name="government-engagement-initiative"/>
    <w:p>
      <w:pPr>
        <w:pStyle w:val="Heading3"/>
      </w:pPr>
      <w:r>
        <w:t xml:space="preserve">3. Government Engagement Initiative</w:t>
      </w:r>
    </w:p>
    <w:p>
      <w:pPr>
        <w:pStyle w:val="FirstParagraph"/>
      </w:pPr>
      <w:r>
        <w:t xml:space="preserve">Develop a government-facing program with:</w:t>
      </w:r>
    </w:p>
    <w:p>
      <w:pPr>
        <w:numPr>
          <w:ilvl w:val="0"/>
          <w:numId w:val="1005"/>
        </w:numPr>
        <w:pStyle w:val="Compact"/>
      </w:pPr>
      <w:r>
        <w:t xml:space="preserve">Dedicated policy briefings for Ministry of Economy officials</w:t>
      </w:r>
    </w:p>
    <w:p>
      <w:pPr>
        <w:numPr>
          <w:ilvl w:val="0"/>
          <w:numId w:val="1005"/>
        </w:numPr>
        <w:pStyle w:val="Compact"/>
      </w:pPr>
      <w:r>
        <w:t xml:space="preserve">Sponsored workshops on global trade trends at Casa de Gobierno</w:t>
      </w:r>
    </w:p>
    <w:p>
      <w:pPr>
        <w:numPr>
          <w:ilvl w:val="0"/>
          <w:numId w:val="1005"/>
        </w:numPr>
        <w:pStyle w:val="Compact"/>
      </w:pPr>
      <w:r>
        <w:t xml:space="preserve">Lima-specific data licensing for public sector use</w:t>
      </w:r>
    </w:p>
    <w:bookmarkEnd w:id="31"/>
    <w:bookmarkEnd w:id="32"/>
    <w:bookmarkStart w:id="33" w:name="X15afb7a37338d4343d0a86cbceaf8ac9da60289"/>
    <w:p>
      <w:pPr>
        <w:pStyle w:val="Heading2"/>
      </w:pPr>
      <w:r>
        <w:t xml:space="preserve">Financial Projections and Resource Allocation</w:t>
      </w:r>
    </w:p>
    <w:p>
      <w:pPr>
        <w:pStyle w:val="FirstParagraph"/>
      </w:pPr>
      <w:r>
        <w:t xml:space="preserve">Implementing these initiatives requires a $45,000 Q4 investment in Lima-based content development. Projected outcomes:</w:t>
      </w:r>
    </w:p>
    <w:p>
      <w:pPr>
        <w:numPr>
          <w:ilvl w:val="0"/>
          <w:numId w:val="1006"/>
        </w:numPr>
        <w:pStyle w:val="Compact"/>
      </w:pPr>
      <w:r>
        <w:t xml:space="preserve">18% increase in corporate subscriptions by Q1 2024</w:t>
      </w:r>
    </w:p>
    <w:p>
      <w:pPr>
        <w:numPr>
          <w:ilvl w:val="0"/>
          <w:numId w:val="1006"/>
        </w:numPr>
        <w:pStyle w:val="Compact"/>
      </w:pPr>
      <w:r>
        <w:t xml:space="preserve">35% reduction in SME churn rate</w:t>
      </w:r>
    </w:p>
    <w:p>
      <w:pPr>
        <w:numPr>
          <w:ilvl w:val="0"/>
          <w:numId w:val="1006"/>
        </w:numPr>
        <w:pStyle w:val="Compact"/>
      </w:pPr>
      <w:r>
        <w:t xml:space="preserve">$68,000 incremental revenue from government partnerships</w:t>
      </w:r>
    </w:p>
    <w:bookmarkEnd w:id="33"/>
    <w:bookmarkStart w:id="34" w:name="conclusion-the-economists-future-in-lima"/>
    <w:p>
      <w:pPr>
        <w:pStyle w:val="Heading2"/>
      </w:pPr>
      <w:r>
        <w:t xml:space="preserve">Conclusion: The Economist's Future in Lima</w:t>
      </w:r>
    </w:p>
    <w:p>
      <w:pPr>
        <w:pStyle w:val="FirstParagraph"/>
      </w:pPr>
      <w:r>
        <w:t xml:space="preserve">The Peru Lima market represents not just a sales opportunity, but a strategic foothold for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Latin American expansion. Our Q3 performance demonstrates that when content aligns with Lima's unique economic priorities—combining global insight with hyperlocal relevance—the subscription model thrives. The data is clear: businesses in Peru Lima don't just consume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; they depend on it for strategic decision-making.</w:t>
      </w:r>
    </w:p>
    <w:p>
      <w:pPr>
        <w:pStyle w:val="BodyText"/>
      </w:pPr>
      <w:r>
        <w:t xml:space="preserve">As we position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as the indispensable intelligence partner for Lima's economic ecosystem, we must double down on localizing content without sacrificing global authority. The next 12 months will determine whether Peru Lima becomes a model for Latin American growth—or merely another strong regional market. Given our current trajectory and these targeted initiatives, we project Lima to generate 78% of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total Peru revenue by Q4 2024, cementing its status as the region's premier market.</w:t>
      </w:r>
    </w:p>
    <w:p>
      <w:pPr>
        <w:pStyle w:val="BodyText"/>
      </w:pPr>
      <w:r>
        <w:t xml:space="preserve">Final Note: This Sales Report underscores that success in Peru Lima isn't about selling subscriptions—it's about becoming the essential knowledge partner for a city driving South America's economic evolution.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Economist Sales Report: Peru Lima Market Performance</dc:title>
  <dc:creator/>
  <dc:language>en</dc:language>
  <cp:keywords/>
  <dcterms:created xsi:type="dcterms:W3CDTF">2026-07-21T04:58:03Z</dcterms:created>
  <dcterms:modified xsi:type="dcterms:W3CDTF">2026-07-21T04:58:03Z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