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The</w:t>
      </w:r>
      <w:r>
        <w:t xml:space="preserve"> </w:t>
      </w:r>
      <w:r>
        <w:t xml:space="preserve">Economist</w:t>
      </w:r>
      <w:r>
        <w:t xml:space="preserve"> </w:t>
      </w:r>
      <w:r>
        <w:t xml:space="preserve">Market</w:t>
      </w:r>
      <w:r>
        <w:t xml:space="preserve"> </w:t>
      </w:r>
      <w:r>
        <w:t xml:space="preserve">Performance</w:t>
      </w:r>
      <w:r>
        <w:t xml:space="preserve"> </w:t>
      </w:r>
      <w:r>
        <w:t xml:space="preserve">in</w:t>
      </w:r>
      <w:r>
        <w:t xml:space="preserve"> </w:t>
      </w:r>
      <w:r>
        <w:t xml:space="preserve">Russia</w:t>
      </w:r>
      <w:r>
        <w:t xml:space="preserve"> </w:t>
      </w:r>
      <w:r>
        <w:t xml:space="preserve">Moscow</w:t>
      </w:r>
    </w:p>
    <w:bookmarkStart w:id="27" w:name="X80d55708eba852d86be6039a0074bc76bf73eb9"/>
    <w:p>
      <w:pPr>
        <w:pStyle w:val="Heading1"/>
      </w:pPr>
      <w:r>
        <w:t xml:space="preserve">Comprehensive Sales Report: The Economist Subscription Growth &amp; Strategy in Russia Moscow (Q3 2023)</w:t>
      </w:r>
    </w:p>
    <w:bookmarkStart w:id="20" w:name="executive-summary"/>
    <w:p>
      <w:pPr>
        <w:pStyle w:val="Heading2"/>
      </w:pPr>
      <w:r>
        <w:t xml:space="preserve">Executive Summary</w:t>
      </w:r>
    </w:p>
    <w:p>
      <w:pPr>
        <w:pStyle w:val="FirstParagraph"/>
      </w:pPr>
      <w:r>
        <w:t xml:space="preserve">This Sales Report details the performance, strategic initiatives, and market dynamics of</w:t>
      </w:r>
      <w:r>
        <w:t xml:space="preserve"> </w:t>
      </w:r>
      <w:r>
        <w:rPr>
          <w:bCs/>
          <w:b/>
        </w:rPr>
        <w:t xml:space="preserve">The Economist</w:t>
      </w:r>
      <w:r>
        <w:t xml:space="preserve"> </w:t>
      </w:r>
      <w:r>
        <w:t xml:space="preserve">subscription services within the critical Russian market, with a primary focus on Moscow. Despite complex geopolitical and economic challenges in Russia Moscow, The Economist has achieved notable growth in premium digital subscriptions during Q3 2023. This report confirms that targeted localization efforts and strategic partnerships have positioned</w:t>
      </w:r>
      <w:r>
        <w:t xml:space="preserve"> </w:t>
      </w:r>
      <w:r>
        <w:rPr>
          <w:iCs/>
          <w:i/>
        </w:rPr>
        <w:t xml:space="preserve">The Economist</w:t>
      </w:r>
      <w:r>
        <w:t xml:space="preserve"> </w:t>
      </w:r>
      <w:r>
        <w:t xml:space="preserve">as an indispensable resource for decision-makers navigating Russia's evolving business landscape. Sales performance demonstrates resilient demand for high-value economic intelligence, validating our market entry strategy in Moscow.</w:t>
      </w:r>
    </w:p>
    <w:bookmarkEnd w:id="20"/>
    <w:bookmarkStart w:id="21" w:name="X730390f1834b7c770371adb9bce61aa6cd23f56"/>
    <w:p>
      <w:pPr>
        <w:pStyle w:val="Heading2"/>
      </w:pPr>
      <w:r>
        <w:t xml:space="preserve">Market Context: Why The Economist Matters in Russia Moscow</w:t>
      </w:r>
    </w:p>
    <w:p>
      <w:pPr>
        <w:pStyle w:val="FirstParagraph"/>
      </w:pPr>
      <w:r>
        <w:t xml:space="preserve">Investors and corporate leaders across Russia Moscow increasingly require reliable, global economic analysis to navigate sanctions pressures, currency volatility, and shifting trade corridors.</w:t>
      </w:r>
      <w:r>
        <w:t xml:space="preserve"> </w:t>
      </w:r>
      <w:r>
        <w:rPr>
          <w:bCs/>
          <w:b/>
        </w:rPr>
        <w:t xml:space="preserve">The Economist</w:t>
      </w:r>
      <w:r>
        <w:t xml:space="preserve">'s reputation for impartial geopolitical insight and deep-dive economic reporting has become particularly valuable. Unlike domestic Russian media outlets often constrained by local narratives,</w:t>
      </w:r>
      <w:r>
        <w:t xml:space="preserve"> </w:t>
      </w:r>
      <w:r>
        <w:rPr>
          <w:iCs/>
          <w:i/>
        </w:rPr>
        <w:t xml:space="preserve">The Economist</w:t>
      </w:r>
      <w:r>
        <w:t xml:space="preserve"> </w:t>
      </w:r>
      <w:r>
        <w:t xml:space="preserve">delivers an unfiltered perspective on global markets impacting Moscow-based businesses—covering energy transitions, Central Asian trade routes, and Western sanctions compliance. This unique value proposition directly addresses the urgent needs of our core audience: C-suite executives, finance professionals, and policy analysts within Russia Moscow's commercial ecosystem.</w:t>
      </w:r>
    </w:p>
    <w:bookmarkEnd w:id="21"/>
    <w:bookmarkStart w:id="22" w:name="Xfb49713ccb02f5016ce6b954a8db9722ee30f14"/>
    <w:p>
      <w:pPr>
        <w:pStyle w:val="Heading2"/>
      </w:pPr>
      <w:r>
        <w:t xml:space="preserve">Q3 2023 Sales Performance in Russia Moscow</w:t>
      </w:r>
    </w:p>
    <w:p>
      <w:pPr>
        <w:pStyle w:val="FirstParagraph"/>
      </w:pPr>
      <w:r>
        <w:t xml:space="preserve">This quarter marked a significant milestone for The Economist in Russia Moscow. Key performance indicators reflect robust growth:</w:t>
      </w:r>
    </w:p>
    <w:p>
      <w:pPr>
        <w:pStyle w:val="BodyText"/>
      </w:pPr>
      <w:r>
        <w:t xml:space="preserve">KPI</w:t>
      </w:r>
    </w:p>
    <w:p>
      <w:pPr>
        <w:pStyle w:val="BodyText"/>
      </w:pPr>
      <w:r>
        <w:t xml:space="preserve">Q3 2023 (Moscow)</w:t>
      </w:r>
    </w:p>
    <w:p>
      <w:pPr>
        <w:pStyle w:val="BodyText"/>
      </w:pPr>
      <w:r>
        <w:t xml:space="preserve">Q2 2023 (Moscow)</w:t>
      </w:r>
    </w:p>
    <w:p>
      <w:pPr>
        <w:pStyle w:val="BodyText"/>
      </w:pPr>
      <w:r>
        <w:t xml:space="preserve">YoY Growth</w:t>
      </w:r>
    </w:p>
    <w:p>
      <w:pPr>
        <w:pStyle w:val="BodyText"/>
      </w:pPr>
      <w:r>
        <w:t xml:space="preserve">Digital Subscription Units</w:t>
      </w:r>
    </w:p>
    <w:p>
      <w:pPr>
        <w:pStyle w:val="BodyText"/>
      </w:pPr>
      <w:r>
        <w:t xml:space="preserve">1,485</w:t>
      </w:r>
    </w:p>
    <w:p>
      <w:pPr>
        <w:pStyle w:val="BodyText"/>
      </w:pPr>
      <w:r>
        <w:t xml:space="preserve">1,270</w:t>
      </w:r>
    </w:p>
    <w:p>
      <w:pPr>
        <w:pStyle w:val="BodyText"/>
      </w:pPr>
      <w:r>
        <w:t xml:space="preserve">+16.9%</w:t>
      </w:r>
    </w:p>
    <w:p>
      <w:pPr>
        <w:pStyle w:val="BodyText"/>
      </w:pPr>
      <w:r>
        <w:t xml:space="preserve">Premium Tier Subscriptions (Digital + Print)</w:t>
      </w:r>
    </w:p>
    <w:p>
      <w:pPr>
        <w:pStyle w:val="BodyText"/>
      </w:pPr>
      <w:r>
        <w:t xml:space="preserve">382</w:t>
      </w:r>
    </w:p>
    <w:p>
      <w:pPr>
        <w:pStyle w:val="BodyText"/>
      </w:pPr>
      <w:r>
        <w:t xml:space="preserve">New Business Growth in Moscow: 15.3% vs Q2</w:t>
      </w:r>
    </w:p>
    <w:p>
      <w:pPr>
        <w:pStyle w:val="BodyText"/>
      </w:pPr>
      <w:r>
        <w:t xml:space="preserve">Notably, the premium tier (combining digital access with select print editions) grew by 21% year-on-year in Russia Moscow. This growth is directly attributed to strategic partnerships with leading Moscow financial institutions like Sberbank Corporate and VTB Capital, offering bundled subscriptions as executive benefits. Additionally, targeted email campaigns highlighting</w:t>
      </w:r>
      <w:r>
        <w:t xml:space="preserve"> </w:t>
      </w:r>
      <w:r>
        <w:rPr>
          <w:iCs/>
          <w:i/>
        </w:rPr>
        <w:t xml:space="preserve">The Economist</w:t>
      </w:r>
      <w:r>
        <w:t xml:space="preserve">'s coverage of the "Russia-Eurasian Economic Union Integration" special report generated a 32% higher click-through rate compared to global averages.</w:t>
      </w:r>
    </w:p>
    <w:bookmarkEnd w:id="22"/>
    <w:bookmarkStart w:id="23" w:name="key-drivers-of-success-in-russia-moscow"/>
    <w:p>
      <w:pPr>
        <w:pStyle w:val="Heading2"/>
      </w:pPr>
      <w:r>
        <w:t xml:space="preserve">Key Drivers of Success in Russia Moscow</w:t>
      </w:r>
    </w:p>
    <w:p>
      <w:pPr>
        <w:numPr>
          <w:ilvl w:val="0"/>
          <w:numId w:val="1001"/>
        </w:numPr>
        <w:pStyle w:val="Compact"/>
      </w:pPr>
      <w:r>
        <w:rPr>
          <w:bCs/>
          <w:b/>
        </w:rPr>
        <w:t xml:space="preserve">Localized Content Strategy:</w:t>
      </w:r>
      <w:r>
        <w:t xml:space="preserve"> </w:t>
      </w:r>
      <w:r>
        <w:t xml:space="preserve">In Q3, The Economist published three exclusive Moscow-focused reports: "Sanctions Impact on Russian Manufacturing," "Moscow's Energy Transition Pathways," and "CFO Perspectives: Managing Capital Flight." These were promoted via local LinkedIn ads targeting professionals in Moscow's business districts (e.g., MIBC, Zaryadye), driving a 28% increase in qualified leads.</w:t>
      </w:r>
    </w:p>
    <w:p>
      <w:pPr>
        <w:numPr>
          <w:ilvl w:val="0"/>
          <w:numId w:val="1001"/>
        </w:numPr>
        <w:pStyle w:val="Compact"/>
      </w:pPr>
      <w:r>
        <w:rPr>
          <w:bCs/>
          <w:b/>
        </w:rPr>
        <w:t xml:space="preserve">Payment Accessibility:</w:t>
      </w:r>
      <w:r>
        <w:t xml:space="preserve"> </w:t>
      </w:r>
      <w:r>
        <w:t xml:space="preserve">Partnering with Russian payment processors like Yandex.Money and Mir enabled seamless subscription payments within Russia Moscow, removing a major friction point. This initiative contributed to a 35% reduction in cart abandonment for new subscribers.</w:t>
      </w:r>
    </w:p>
    <w:p>
      <w:pPr>
        <w:numPr>
          <w:ilvl w:val="0"/>
          <w:numId w:val="1001"/>
        </w:numPr>
        <w:pStyle w:val="Compact"/>
      </w:pPr>
      <w:r>
        <w:rPr>
          <w:bCs/>
          <w:b/>
        </w:rPr>
        <w:t xml:space="preserve">High-Value Events:</w:t>
      </w:r>
      <w:r>
        <w:t xml:space="preserve"> </w:t>
      </w:r>
      <w:r>
        <w:t xml:space="preserve">Hosted two exclusive "Economist Insights" roundtables in Moscow (at the Minskaya Hotel), featuring senior editors discussing Q3 economic trends. These events directly converted 19% of attendees into premium subscriptions.</w:t>
      </w:r>
    </w:p>
    <w:bookmarkEnd w:id="23"/>
    <w:bookmarkStart w:id="24" w:name="challenges-mitigation-strategies"/>
    <w:p>
      <w:pPr>
        <w:pStyle w:val="Heading2"/>
      </w:pPr>
      <w:r>
        <w:t xml:space="preserve">Challenges &amp; Mitigation Strategies</w:t>
      </w:r>
    </w:p>
    <w:p>
      <w:pPr>
        <w:pStyle w:val="FirstParagraph"/>
      </w:pPr>
      <w:r>
        <w:t xml:space="preserve">Operating in Russia Moscow presents distinct challenges, including:</w:t>
      </w:r>
    </w:p>
    <w:p>
      <w:pPr>
        <w:numPr>
          <w:ilvl w:val="0"/>
          <w:numId w:val="1002"/>
        </w:numPr>
        <w:pStyle w:val="Compact"/>
      </w:pPr>
      <w:r>
        <w:rPr>
          <w:bCs/>
          <w:b/>
        </w:rPr>
        <w:t xml:space="preserve">Geopolitical Sensitivity:</w:t>
      </w:r>
      <w:r>
        <w:t xml:space="preserve"> </w:t>
      </w:r>
      <w:r>
        <w:t xml:space="preserve">Some potential subscribers expressed concerns about content alignment with Western perspectives. The Sales Team proactively addressed this through personalized briefings emphasizing our non-partisan analysis framework and focus on factual economic data.</w:t>
      </w:r>
    </w:p>
    <w:p>
      <w:pPr>
        <w:numPr>
          <w:ilvl w:val="0"/>
          <w:numId w:val="1002"/>
        </w:numPr>
        <w:pStyle w:val="Compact"/>
      </w:pPr>
      <w:r>
        <w:rPr>
          <w:bCs/>
          <w:b/>
        </w:rPr>
        <w:t xml:space="preserve">Competition from Local Players:</w:t>
      </w:r>
      <w:r>
        <w:t xml:space="preserve"> </w:t>
      </w:r>
      <w:r>
        <w:t xml:space="preserve">Russian publications like</w:t>
      </w:r>
      <w:r>
        <w:t xml:space="preserve"> </w:t>
      </w:r>
      <w:r>
        <w:rPr>
          <w:iCs/>
          <w:i/>
        </w:rPr>
        <w:t xml:space="preserve">Vedomosti</w:t>
      </w:r>
      <w:r>
        <w:t xml:space="preserve"> </w:t>
      </w:r>
      <w:r>
        <w:t xml:space="preserve">offer cheaper local coverage. Our response was to highlight</w:t>
      </w:r>
      <w:r>
        <w:t xml:space="preserve"> </w:t>
      </w:r>
      <w:r>
        <w:rPr>
          <w:iCs/>
          <w:i/>
        </w:rPr>
        <w:t xml:space="preserve">The Economist</w:t>
      </w:r>
      <w:r>
        <w:t xml:space="preserve">'s unique global lens—e.g., "How Russian Energy Policy Affects Global Oil Markets," a report featured in our Moscow sales kits.</w:t>
      </w:r>
    </w:p>
    <w:bookmarkEnd w:id="24"/>
    <w:bookmarkStart w:id="25" w:name="Xf99210918227c79ffeff502679fd2ff482c21f3"/>
    <w:p>
      <w:pPr>
        <w:pStyle w:val="Heading2"/>
      </w:pPr>
      <w:r>
        <w:t xml:space="preserve">Strategic Recommendations for Q4 2023 &amp; Beyond</w:t>
      </w:r>
    </w:p>
    <w:p>
      <w:pPr>
        <w:pStyle w:val="FirstParagraph"/>
      </w:pPr>
      <w:r>
        <w:t xml:space="preserve">To sustain momentum in Russia Moscow, we recommend:</w:t>
      </w:r>
    </w:p>
    <w:p>
      <w:pPr>
        <w:numPr>
          <w:ilvl w:val="0"/>
          <w:numId w:val="1003"/>
        </w:numPr>
        <w:pStyle w:val="Compact"/>
      </w:pPr>
      <w:r>
        <w:rPr>
          <w:bCs/>
          <w:b/>
        </w:rPr>
        <w:t xml:space="preserve">Deepen Institutional Partnerships:</w:t>
      </w:r>
      <w:r>
        <w:t xml:space="preserve"> </w:t>
      </w:r>
      <w:r>
        <w:t xml:space="preserve">Target additional Moscow-based banks and large corporations for corporate subscription programs. Pilot a "Moscow Business Executive" tier with exclusive access to our local market analyst network.</w:t>
      </w:r>
    </w:p>
    <w:p>
      <w:pPr>
        <w:numPr>
          <w:ilvl w:val="0"/>
          <w:numId w:val="1003"/>
        </w:numPr>
        <w:pStyle w:val="Compact"/>
      </w:pPr>
      <w:r>
        <w:rPr>
          <w:bCs/>
          <w:b/>
        </w:rPr>
        <w:t xml:space="preserve">Leverage Data Localization:</w:t>
      </w:r>
      <w:r>
        <w:t xml:space="preserve"> </w:t>
      </w:r>
      <w:r>
        <w:t xml:space="preserve">Develop quarterly Moscow-specific economic dashboards within the digital platform, showing real-time metrics on ruble performance, import/export trends, and key sectors like tech and agriculture. This will enhance perceived relevance for Russian clients.</w:t>
      </w:r>
    </w:p>
    <w:p>
      <w:pPr>
        <w:numPr>
          <w:ilvl w:val="0"/>
          <w:numId w:val="1003"/>
        </w:numPr>
        <w:pStyle w:val="Compact"/>
      </w:pPr>
      <w:r>
        <w:rPr>
          <w:bCs/>
          <w:b/>
        </w:rPr>
        <w:t xml:space="preserve">Expand Offline Engagement:</w:t>
      </w:r>
      <w:r>
        <w:t xml:space="preserve"> </w:t>
      </w:r>
      <w:r>
        <w:t xml:space="preserve">Host a flagship "Economist Economic Summit" in Moscow in November 2023, featuring interviews with prominent Russian economists (e.g., from the Higher School of Economics) to further establish local credibility and drive sales.</w:t>
      </w:r>
    </w:p>
    <w:bookmarkEnd w:id="25"/>
    <w:bookmarkStart w:id="26" w:name="Xa0bb12bc0aab3b768a980cab515477201a10ffd"/>
    <w:p>
      <w:pPr>
        <w:pStyle w:val="Heading2"/>
      </w:pPr>
      <w:r>
        <w:t xml:space="preserve">Conclusion: The Economist's Enduring Value in Russia Moscow</w:t>
      </w:r>
    </w:p>
    <w:p>
      <w:pPr>
        <w:pStyle w:val="FirstParagraph"/>
      </w:pPr>
      <w:r>
        <w:t xml:space="preserve">This Sales Report confirms that</w:t>
      </w:r>
      <w:r>
        <w:t xml:space="preserve"> </w:t>
      </w:r>
      <w:r>
        <w:rPr>
          <w:bCs/>
          <w:b/>
        </w:rPr>
        <w:t xml:space="preserve">The Economist</w:t>
      </w:r>
      <w:r>
        <w:t xml:space="preserve"> </w:t>
      </w:r>
      <w:r>
        <w:t xml:space="preserve">has successfully navigated the complexities of the Russia Moscow market. Our Q3 performance—driven by localized content, payment solutions, and high-value events—proves sustained demand for independent economic intelligence among business leaders operating within Russia's dynamic economy. As geopolitical landscapes continue to evolve,</w:t>
      </w:r>
      <w:r>
        <w:t xml:space="preserve"> </w:t>
      </w:r>
      <w:r>
        <w:rPr>
          <w:iCs/>
          <w:i/>
        </w:rPr>
        <w:t xml:space="preserve">The Economist</w:t>
      </w:r>
      <w:r>
        <w:t xml:space="preserve">'s commitment to providing unbiased global insights positions it as an irreplaceable strategic asset for Moscow's corporate community. The 16.9% QoQ subscription growth in Russia Moscow underscores a clear market need that our sales strategy is effectively fulfilling, ensuring strong momentum into the final quarter of 2023 and beyond.</w:t>
      </w:r>
    </w:p>
    <w:p>
      <w:pPr>
        <w:pStyle w:val="BodyText"/>
      </w:pPr>
      <w:r>
        <w:rPr>
          <w:bCs/>
          <w:b/>
        </w:rPr>
        <w:t xml:space="preserve">Report Prepared For:</w:t>
      </w:r>
      <w:r>
        <w:t xml:space="preserve"> </w:t>
      </w:r>
      <w:r>
        <w:t xml:space="preserve">Global Sales Leadership Team |</w:t>
      </w:r>
      <w:r>
        <w:t xml:space="preserve"> </w:t>
      </w:r>
      <w:r>
        <w:rPr>
          <w:bCs/>
          <w:b/>
        </w:rPr>
        <w:t xml:space="preserve">Location Focus:</w:t>
      </w:r>
      <w:r>
        <w:t xml:space="preserve"> </w:t>
      </w:r>
      <w:r>
        <w:t xml:space="preserve">Russia Moscow |</w:t>
      </w:r>
      <w:r>
        <w:t xml:space="preserve"> </w:t>
      </w:r>
      <w:r>
        <w:rPr>
          <w:bCs/>
          <w:b/>
        </w:rPr>
        <w:t xml:space="preserve">Date:</w:t>
      </w:r>
      <w:r>
        <w:t xml:space="preserve"> </w:t>
      </w:r>
      <w:r>
        <w:t xml:space="preserve">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The Economist Market Performance in Russia Moscow</dc:title>
  <dc:creator/>
  <dc:language>en</dc:language>
  <cp:keywords/>
  <dcterms:created xsi:type="dcterms:W3CDTF">2026-07-24T06:28:51Z</dcterms:created>
  <dcterms:modified xsi:type="dcterms:W3CDTF">2026-07-24T06:28:51Z</dcterms:modified>
</cp:coreProperties>
</file>

<file path=docProps/custom.xml><?xml version="1.0" encoding="utf-8"?>
<Properties xmlns="http://schemas.openxmlformats.org/officeDocument/2006/custom-properties" xmlns:vt="http://schemas.openxmlformats.org/officeDocument/2006/docPropsVTypes"/>
</file>