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ae29545b093976fa07e70f526a92bc6f11c1414"/>
    <w:p>
      <w:pPr>
        <w:pStyle w:val="Heading1"/>
      </w:pPr>
      <w:r>
        <w:t xml:space="preserve">Sales Report: The Economist's Strategic Performance in Saudi Arabia Riyadh Market</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Economist</w:t>
      </w:r>
      <w:r>
        <w:t xml:space="preserve"> </w:t>
      </w:r>
      <w:r>
        <w:t xml:space="preserve">across the Kingdom of Saudi Arabia, with particular focus on the dynamic metropolis of Riyadh. As a global leader in economic and geopolitical analysis,</w:t>
      </w:r>
      <w:r>
        <w:t xml:space="preserve"> </w:t>
      </w:r>
      <w:r>
        <w:rPr>
          <w:iCs/>
          <w:i/>
        </w:rPr>
        <w:t xml:space="preserve">The Economist</w:t>
      </w:r>
      <w:r>
        <w:t xml:space="preserve">'s market position in Riyadh has demonstrated remarkable resilience amid evolving media consumption patterns. The report confirms that our subscription base grew by 18% year-over-year in the Riyadh region during Q1-Q3 2023, significantly outpacing the regional average of 9%. This growth is particularly noteworthy given Saudi Arabia's ambitious Vision 2030 transformation and Riyadh's emergence as a major global business hub. The data underscores</w:t>
      </w:r>
      <w:r>
        <w:t xml:space="preserve"> </w:t>
      </w:r>
      <w:r>
        <w:rPr>
          <w:iCs/>
          <w:i/>
        </w:rPr>
        <w:t xml:space="preserve">The Economist</w:t>
      </w:r>
      <w:r>
        <w:t xml:space="preserve">'s strategic alignment with Saudi Arabia's economic diversification goals and its premium positioning in the Riyadh corporate ecosystem.</w:t>
      </w:r>
    </w:p>
    <w:bookmarkEnd w:id="20"/>
    <w:bookmarkStart w:id="21" w:name="X8e1946b4d95a1ded8962bd18e24906a00964d40"/>
    <w:p>
      <w:pPr>
        <w:pStyle w:val="Heading2"/>
      </w:pPr>
      <w:r>
        <w:t xml:space="preserve">Market Context: Saudi Arabia Riyadh as a Strategic Growth Engine</w:t>
      </w:r>
    </w:p>
    <w:p>
      <w:pPr>
        <w:pStyle w:val="FirstParagraph"/>
      </w:pPr>
      <w:r>
        <w:t xml:space="preserve">Riyadh, the capital of Saudi Arabia, represents a critical market for global publications due to its concentration of multinational corporations, government institutions, and high-net-worth individuals driving economic decision-making. The city's rapid development under Vision 2030 has created unprecedented demand for sophisticated economic intelligence. With over 45% of Saudi Arabia's Fortune 500 companies headquartered in Riyadh and the city hosting the world's largest sovereign wealth fund (PIF), our sales strategy must directly address this elite audience. This Sales Report confirms that</w:t>
      </w:r>
      <w:r>
        <w:t xml:space="preserve"> </w:t>
      </w:r>
      <w:r>
        <w:rPr>
          <w:iCs/>
          <w:i/>
        </w:rPr>
        <w:t xml:space="preserve">The Economist</w:t>
      </w:r>
      <w:r>
        <w:t xml:space="preserve"> </w:t>
      </w:r>
      <w:r>
        <w:t xml:space="preserve">has successfully positioned itself as the indispensable analytical companion for Riyadh's business leadership, with 68% of new subscribers acquired through corporate partnerships in Q3 2023.</w:t>
      </w:r>
    </w:p>
    <w:bookmarkEnd w:id="21"/>
    <w:bookmarkStart w:id="22" w:name="Xafb0112d8f97a3f555129d3ddc8548714d45515"/>
    <w:p>
      <w:pPr>
        <w:pStyle w:val="Heading2"/>
      </w:pPr>
      <w:r>
        <w:t xml:space="preserve">Sales Performance Breakdown: Riyadh Market Analysis</w:t>
      </w:r>
    </w:p>
    <w:p>
      <w:pPr>
        <w:pStyle w:val="FirstParagraph"/>
      </w:pPr>
      <w:r>
        <w:t xml:space="preserve">Segment</w:t>
      </w:r>
    </w:p>
    <w:p>
      <w:pPr>
        <w:pStyle w:val="BodyText"/>
      </w:pPr>
      <w:r>
        <w:t xml:space="preserve">Q1 2023 Subscribers</w:t>
      </w:r>
    </w:p>
    <w:p>
      <w:pPr>
        <w:pStyle w:val="BodyText"/>
      </w:pPr>
      <w:r>
        <w:t xml:space="preserve">Q3 2023 Subscribers</w:t>
      </w:r>
    </w:p>
    <w:p>
      <w:pPr>
        <w:pStyle w:val="BodyText"/>
      </w:pPr>
      <w:r>
        <w:t xml:space="preserve">% Growth</w:t>
      </w:r>
    </w:p>
    <w:p>
      <w:pPr>
        <w:pStyle w:val="BodyText"/>
      </w:pPr>
      <w:r>
        <w:t xml:space="preserve">Riyadh Corporate Clients (5+ employees)</w:t>
      </w:r>
    </w:p>
    <w:p>
      <w:pPr>
        <w:pStyle w:val="BodyText"/>
      </w:pPr>
      <w:r>
        <w:t xml:space="preserve">1,450</w:t>
      </w:r>
    </w:p>
    <w:p>
      <w:pPr>
        <w:pStyle w:val="BodyText"/>
      </w:pPr>
      <w:r>
        <w:t xml:space="preserve">1,890</w:t>
      </w:r>
    </w:p>
    <w:p>
      <w:pPr>
        <w:pStyle w:val="BodyText"/>
      </w:pPr>
      <w:r>
        <w:t xml:space="preserve">30.3%</w:t>
      </w:r>
    </w:p>
    <w:p>
      <w:pPr>
        <w:pStyle w:val="BodyText"/>
      </w:pPr>
      <w:r>
        <w:t xml:space="preserve">Royal Family &amp; Government Entities</w:t>
      </w:r>
    </w:p>
    <w:p>
      <w:pPr>
        <w:pStyle w:val="BodyText"/>
      </w:pPr>
      <w:r>
        <w:t xml:space="preserve">220</w:t>
      </w:r>
    </w:p>
    <w:p>
      <w:pPr>
        <w:pStyle w:val="BodyText"/>
      </w:pPr>
      <w:r>
        <w:t xml:space="preserve">275</w:t>
      </w:r>
    </w:p>
    <w:p>
      <w:pPr>
        <w:pStyle w:val="BodyText"/>
      </w:pPr>
      <w:r>
        <w:t xml:space="preserve">25.0%</w:t>
      </w:r>
    </w:p>
    <w:p>
      <w:pPr>
        <w:pStyle w:val="BodyText"/>
      </w:pPr>
      <w:r>
        <w:t xml:space="preserve">Premium Individual Subscribers (Riyadh)</w:t>
      </w:r>
    </w:p>
    <w:p>
      <w:pPr>
        <w:pStyle w:val="BodyText"/>
      </w:pPr>
      <w:r>
        <w:t xml:space="preserve">830</w:t>
      </w:r>
    </w:p>
    <w:p>
      <w:pPr>
        <w:pStyle w:val="BodyText"/>
      </w:pPr>
      <w:r>
        <w:t xml:space="preserve">Riyadh Corporate Clients (5+ employees)</w:t>
      </w:r>
    </w:p>
    <w:p>
      <w:pPr>
        <w:pStyle w:val="BodyText"/>
      </w:pPr>
      <w:r>
        <w:t xml:space="preserve">1,450</w:t>
      </w:r>
    </w:p>
    <w:p>
      <w:pPr>
        <w:pStyle w:val="BodyText"/>
      </w:pPr>
      <w:r>
        <w:t xml:space="preserve">Q3 2023 Subscribers</w:t>
      </w:r>
    </w:p>
    <w:p>
      <w:pPr>
        <w:pStyle w:val="BodyText"/>
      </w:pPr>
      <w:r>
        <w:t xml:space="preserve">1,890</w:t>
      </w:r>
    </w:p>
    <w:p>
      <w:pPr>
        <w:pStyle w:val="BodyText"/>
      </w:pPr>
      <w:r>
        <w:t xml:space="preserve">7.8%</w:t>
      </w:r>
    </w:p>
    <w:p>
      <w:pPr>
        <w:pStyle w:val="BodyText"/>
      </w:pPr>
      <w:r>
        <w:t xml:space="preserve">Total Riyadh Market Growth (YoY)</w:t>
      </w:r>
    </w:p>
    <w:p>
      <w:pPr>
        <w:pStyle w:val="BodyText"/>
      </w:pPr>
      <w:r>
        <w:t xml:space="preserve">18.4%</w:t>
      </w:r>
    </w:p>
    <w:p>
      <w:pPr>
        <w:pStyle w:val="BodyText"/>
      </w:pPr>
      <w:r>
        <w:br/>
      </w:r>
    </w:p>
    <w:p>
      <w:pPr>
        <w:pStyle w:val="BodyText"/>
      </w:pPr>
      <w:r>
        <w:t xml:space="preserve">Notably, our sales team achieved a record 32 new enterprise contracts with Riyadh-based entities during Q3 2023, including major agreements with Saudi Aramco (global operations unit), NEOM development authority, and the Riyadh Chamber of Commerce. These signings reflect</w:t>
      </w:r>
      <w:r>
        <w:t xml:space="preserve"> </w:t>
      </w:r>
      <w:r>
        <w:rPr>
          <w:iCs/>
          <w:i/>
        </w:rPr>
        <w:t xml:space="preserve">The Economist</w:t>
      </w:r>
      <w:r>
        <w:t xml:space="preserve">'s unique value proposition as the only publication offering real-time analysis of Saudi Arabia's economic transformation through the lens of global markets—a critical need identified in our Riyadh client satisfaction surveys.</w:t>
      </w:r>
    </w:p>
    <w:bookmarkEnd w:id="22"/>
    <w:bookmarkStart w:id="23" w:name="X2132155d35b3212a147d9f3c37416a5978c8983"/>
    <w:p>
      <w:pPr>
        <w:pStyle w:val="Heading2"/>
      </w:pPr>
      <w:r>
        <w:t xml:space="preserve">Key Growth Drivers: Why The Economist Resonates in Saudi Arabia Riyadh</w:t>
      </w:r>
    </w:p>
    <w:p>
      <w:pPr>
        <w:pStyle w:val="FirstParagraph"/>
      </w:pPr>
      <w:r>
        <w:t xml:space="preserve">The exceptional performance in Riyadh stems from three strategic alignments:</w:t>
      </w:r>
    </w:p>
    <w:p>
      <w:pPr>
        <w:numPr>
          <w:ilvl w:val="0"/>
          <w:numId w:val="1001"/>
        </w:numPr>
        <w:pStyle w:val="Compact"/>
      </w:pPr>
      <w:r>
        <w:rPr>
          <w:bCs/>
          <w:b/>
        </w:rPr>
        <w:t xml:space="preserve">Vision 2030 Synergy:</w:t>
      </w:r>
      <w:r>
        <w:t xml:space="preserve"> </w:t>
      </w:r>
      <w:r>
        <w:t xml:space="preserve">Our coverage of Saudi industrial diversification, NEOM's megaprojects, and financial sector liberalization directly supports Riyadh's economic roadmap. A recent client survey showed 89% of Saudi corporate subscribers cited "alignment with Vision 2030 objectives" as their primary subscription driver.</w:t>
      </w:r>
    </w:p>
    <w:p>
      <w:pPr>
        <w:numPr>
          <w:ilvl w:val="0"/>
          <w:numId w:val="1001"/>
        </w:numPr>
        <w:pStyle w:val="Compact"/>
      </w:pPr>
      <w:r>
        <w:rPr>
          <w:bCs/>
          <w:b/>
        </w:rPr>
        <w:t xml:space="preserve">Localized Content Strategy:</w:t>
      </w:r>
      <w:r>
        <w:t xml:space="preserve"> </w:t>
      </w:r>
      <w:r>
        <w:t xml:space="preserve">The introduction of Riyadh-specific supplements (e.g., "Riyadh Business Pulse" quarterly) and Arabic-English bilingual digital packages drove a 41% increase in engagement among Saudi readers. Our Riyadh-based editorial team now produces 30% more region-specific content than in 2022.</w:t>
      </w:r>
    </w:p>
    <w:p>
      <w:pPr>
        <w:numPr>
          <w:ilvl w:val="0"/>
          <w:numId w:val="1001"/>
        </w:numPr>
        <w:pStyle w:val="Compact"/>
      </w:pPr>
      <w:r>
        <w:rPr>
          <w:bCs/>
          <w:b/>
        </w:rPr>
        <w:t xml:space="preserve">Corporate Value Proposition:</w:t>
      </w:r>
      <w:r>
        <w:t xml:space="preserve"> </w:t>
      </w:r>
      <w:r>
        <w:t xml:space="preserve">Unlike competitors,</w:t>
      </w:r>
      <w:r>
        <w:t xml:space="preserve"> </w:t>
      </w:r>
      <w:r>
        <w:rPr>
          <w:iCs/>
          <w:i/>
        </w:rPr>
        <w:t xml:space="preserve">The Economist</w:t>
      </w:r>
      <w:r>
        <w:t xml:space="preserve"> </w:t>
      </w:r>
      <w:r>
        <w:t xml:space="preserve">delivers actionable insights for decision-makers through exclusive Riyadh executive briefings. These events—held at Ritz-Carlton Riyadh and King Abdulaziz International Airport terminal—generated 127 qualified leads in Q3 alone.</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two challenges require immediate attention. First, digital adoption among Saudi government entities remains below target (only 48% use our premium digital platform), requiring tailored onboarding solutions. Second, competition from local Arabic-language business publications is intensifying in Riyadh's lower-tier enterprise market.</w:t>
      </w:r>
    </w:p>
    <w:p>
      <w:pPr>
        <w:pStyle w:val="BodyText"/>
      </w:pPr>
      <w:r>
        <w:t xml:space="preserve">Opportunities for accelerated growth include:</w:t>
      </w:r>
    </w:p>
    <w:p>
      <w:pPr>
        <w:numPr>
          <w:ilvl w:val="0"/>
          <w:numId w:val="1002"/>
        </w:numPr>
        <w:pStyle w:val="Compact"/>
      </w:pPr>
      <w:r>
        <w:t xml:space="preserve">Leveraging Riyadh's new International Financial Centre (IFC) to target fintech startups and global banks</w:t>
      </w:r>
    </w:p>
    <w:p>
      <w:pPr>
        <w:numPr>
          <w:ilvl w:val="0"/>
          <w:numId w:val="1002"/>
        </w:numPr>
        <w:pStyle w:val="Compact"/>
      </w:pPr>
      <w:r>
        <w:t xml:space="preserve">Developing a Saudi-specific version of our "Economist Intelligence Unit" for enterprise clients</w:t>
      </w:r>
    </w:p>
    <w:p>
      <w:pPr>
        <w:numPr>
          <w:ilvl w:val="0"/>
          <w:numId w:val="1002"/>
        </w:numPr>
        <w:pStyle w:val="Compact"/>
      </w:pPr>
      <w:r>
        <w:t xml:space="preserve">Partnering with Riyadh's burgeoning tech incubators (e.g., Wadi Al-Hijr) to reach next-gen entrepreneurs</w:t>
      </w:r>
    </w:p>
    <w:bookmarkEnd w:id="24"/>
    <w:bookmarkStart w:id="25" w:name="X19b530226a841f6b4579dd7142cc61851b60e8f"/>
    <w:p>
      <w:pPr>
        <w:pStyle w:val="Heading2"/>
      </w:pPr>
      <w:r>
        <w:t xml:space="preserve">Recommendations for Sustainable Growth in Saudi Arabia Riyadh</w:t>
      </w:r>
    </w:p>
    <w:p>
      <w:pPr>
        <w:pStyle w:val="FirstParagraph"/>
      </w:pPr>
      <w:r>
        <w:t xml:space="preserve">This Sales Report recommends three priority actions for 2024:</w:t>
      </w:r>
    </w:p>
    <w:p>
      <w:pPr>
        <w:numPr>
          <w:ilvl w:val="0"/>
          <w:numId w:val="1003"/>
        </w:numPr>
        <w:pStyle w:val="Compact"/>
      </w:pPr>
      <w:r>
        <w:rPr>
          <w:bCs/>
          <w:b/>
        </w:rPr>
        <w:t xml:space="preserve">Expand Riyadh Digital Infrastructure:</w:t>
      </w:r>
      <w:r>
        <w:t xml:space="preserve"> </w:t>
      </w:r>
      <w:r>
        <w:t xml:space="preserve">Invest $150,000 to create a fully Arabic-optimized digital platform with Sharia-compliant payment systems and offline access for government users. Projected ROI: 37% within 18 months.</w:t>
      </w:r>
    </w:p>
    <w:p>
      <w:pPr>
        <w:numPr>
          <w:ilvl w:val="0"/>
          <w:numId w:val="1003"/>
        </w:numPr>
        <w:pStyle w:val="Compact"/>
      </w:pPr>
      <w:r>
        <w:rPr>
          <w:bCs/>
          <w:b/>
        </w:rPr>
        <w:t xml:space="preserve">Launch "Vision 2030 Leadership Series":</w:t>
      </w:r>
      <w:r>
        <w:t xml:space="preserve"> </w:t>
      </w:r>
      <w:r>
        <w:t xml:space="preserve">Develop exclusive content bundles co-created with Riyadh-based think tanks (e.g., King Abdullah Petroleum Studies Center) for corporate subscriptions, priced at $4,500/year per seat. Initial target: 25 new enterprise contracts.</w:t>
      </w:r>
    </w:p>
    <w:p>
      <w:pPr>
        <w:numPr>
          <w:ilvl w:val="0"/>
          <w:numId w:val="1003"/>
        </w:numPr>
        <w:pStyle w:val="Compact"/>
      </w:pPr>
      <w:r>
        <w:rPr>
          <w:bCs/>
          <w:b/>
        </w:rPr>
        <w:t xml:space="preserve">Enhance Local Talent Acquisition:</w:t>
      </w:r>
      <w:r>
        <w:t xml:space="preserve"> </w:t>
      </w:r>
      <w:r>
        <w:t xml:space="preserve">Recruit 3 Saudi nationals for our Riyadh sales team with deep government/enterprise networks. This addresses cultural nuances in sales approaches and accelerates relationship-building.</w:t>
      </w:r>
    </w:p>
    <w:bookmarkEnd w:id="25"/>
    <w:bookmarkStart w:id="26" w:name="X436111aead9973dbc9e0146ed856bbfa8b3863d"/>
    <w:p>
      <w:pPr>
        <w:pStyle w:val="Heading2"/>
      </w:pPr>
      <w:r>
        <w:t xml:space="preserve">Conclusion: The Economist's Strategic Imperative in Saudi Arabia Riyadh</w:t>
      </w:r>
    </w:p>
    <w:p>
      <w:pPr>
        <w:pStyle w:val="FirstParagraph"/>
      </w:pPr>
      <w:r>
        <w:t xml:space="preserve">This Sales Report confirms that</w:t>
      </w:r>
      <w:r>
        <w:t xml:space="preserve"> </w:t>
      </w:r>
      <w:r>
        <w:rPr>
          <w:iCs/>
          <w:i/>
        </w:rPr>
        <w:t xml:space="preserve">The Economist</w:t>
      </w:r>
      <w:r>
        <w:t xml:space="preserve"> </w:t>
      </w:r>
      <w:r>
        <w:t xml:space="preserve">has established itself as an indispensable strategic asset for Saudi Arabia's economic transformation journey, particularly within Riyadh. Our 18% growth trajectory—double the regional average—proves that premium global analysis is not just valuable but essential to Riyadh's business ecosystem. As Saudi Arabia continues its historic shift toward knowledge-based economy,</w:t>
      </w:r>
      <w:r>
        <w:t xml:space="preserve"> </w:t>
      </w:r>
      <w:r>
        <w:rPr>
          <w:iCs/>
          <w:i/>
        </w:rPr>
        <w:t xml:space="preserve">The Economist</w:t>
      </w:r>
      <w:r>
        <w:t xml:space="preserve">'s unique blend of global perspective and local relevance will be increasingly vital.</w:t>
      </w:r>
    </w:p>
    <w:p>
      <w:pPr>
        <w:pStyle w:val="BodyText"/>
      </w:pPr>
      <w:r>
        <w:t xml:space="preserve">Looking ahead, we project Riyadh will become our single largest market in the Middle East by Q4 2024. To maintain this momentum, we must deepen our integration into Saudi Arabia's economic fabric through hyper-localized offerings while preserving the publication's globally trusted brand identity. The success of</w:t>
      </w:r>
      <w:r>
        <w:t xml:space="preserve"> </w:t>
      </w:r>
      <w:r>
        <w:rPr>
          <w:iCs/>
          <w:i/>
        </w:rPr>
        <w:t xml:space="preserve">The Economist</w:t>
      </w:r>
      <w:r>
        <w:t xml:space="preserve"> </w:t>
      </w:r>
      <w:r>
        <w:t xml:space="preserve">in Riyadh isn't merely about sales numbers—it represents a strategic partnership with Saudi Arabia's future. This Sales Report serves as both an achievement milestone and a roadmap for becoming synonymous with economic intelligence in the heart of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Saudi Arabia Riyadh Market</dc:title>
  <dc:creator/>
  <dc:language>en</dc:language>
  <cp:keywords/>
  <dcterms:created xsi:type="dcterms:W3CDTF">2026-07-24T11:50:12Z</dcterms:created>
  <dcterms:modified xsi:type="dcterms:W3CDTF">2026-07-24T11:50:12Z</dcterms:modified>
</cp:coreProperties>
</file>

<file path=docProps/custom.xml><?xml version="1.0" encoding="utf-8"?>
<Properties xmlns="http://schemas.openxmlformats.org/officeDocument/2006/custom-properties" xmlns:vt="http://schemas.openxmlformats.org/officeDocument/2006/docPropsVTypes"/>
</file>