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Performance</w:t>
      </w:r>
    </w:p>
    <w:bookmarkStart w:id="27" w:name="X2f8fc93c923524482d7fe5948860f87bef20670"/>
    <w:p>
      <w:pPr>
        <w:pStyle w:val="Heading1"/>
      </w:pPr>
      <w:r>
        <w:t xml:space="preserve">Comprehensive Sales Report: The Economist in Singapore Singapore Market</w:t>
      </w:r>
    </w:p>
    <w:bookmarkStart w:id="20" w:name="executive-summary"/>
    <w:p>
      <w:pPr>
        <w:pStyle w:val="Heading2"/>
      </w:pPr>
      <w:r>
        <w:t xml:space="preserve">Executive Summary</w:t>
      </w:r>
    </w:p>
    <w:p>
      <w:pPr>
        <w:pStyle w:val="FirstParagraph"/>
      </w:pPr>
      <w:r>
        <w:t xml:space="preserve">This Sales Report provides an in-depth analysis of The Economist's performance across the Singapore Singapore market during Q3 2023. As a premier global publication renowned for its authoritative economic and geopolitical analysis, The Economist has maintained strong traction in this high-value Southeast Asian market. Our sales data confirms sustained growth trajectory with a 12.7% year-on-year increase in subscription revenue, significantly outperforming regional averages. This report details the strategic drivers behind our success, market dynamics specific to Singapore Singapore, and actionable recommendations for Q4 2023 and beyond.</w:t>
      </w:r>
    </w:p>
    <w:bookmarkEnd w:id="20"/>
    <w:bookmarkStart w:id="21" w:name="X0f3a87555590cc064d78470c846c335816564c1"/>
    <w:p>
      <w:pPr>
        <w:pStyle w:val="Heading2"/>
      </w:pPr>
      <w:r>
        <w:t xml:space="preserve">Market Context: Singapore Singapore as a Strategic Hub</w:t>
      </w:r>
    </w:p>
    <w:p>
      <w:pPr>
        <w:pStyle w:val="FirstParagraph"/>
      </w:pPr>
      <w:r>
        <w:t xml:space="preserve">Singapore Singapore represents one of The Economist's most valuable markets in Southeast Asia. With its position as a global financial hub, diplomatic nexus, and innovation epicenter, the city-state attracts an elite readership comprising C-suite executives, government officials, and international business leaders who demand cutting-edge analysis. This Sales Report specifically examines how our content resonates with Singapore Singapore's unique ecosystem where 78% of premium subscribers hold senior leadership roles across finance, technology, and policy sectors. The economic volatility in the Asia-Pacific region has amplified demand for The Economist's distinctive insights, making this market critical to our global revenue strategy.</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(Singapore)</w:t>
            </w:r>
          </w:p>
        </w:tc>
      </w:tr>
      <w:tr>
        <w:tc>
          <w:tcPr/>
          <w:p>
            <w:pPr>
              <w:pStyle w:val="Compact"/>
              <w:jc w:val="left"/>
            </w:pPr>
            <w:r>
              <w:t xml:space="preserve">Total Subscriptions Sold</w:t>
            </w:r>
          </w:p>
        </w:tc>
        <w:tc>
          <w:tcPr/>
          <w:p>
            <w:pPr>
              <w:pStyle w:val="Compact"/>
              <w:jc w:val="left"/>
            </w:pPr>
            <w:r>
              <w:t xml:space="preserve">18,450</w:t>
            </w:r>
          </w:p>
        </w:tc>
        <w:tc>
          <w:tcPr/>
          <w:p>
            <w:pPr>
              <w:pStyle w:val="Compact"/>
              <w:jc w:val="left"/>
            </w:pPr>
            <w:r>
              <w:t xml:space="preserve">+12.7%</w:t>
            </w:r>
          </w:p>
        </w:tc>
        <w:tc>
          <w:tcPr/>
          <w:p>
            <w:pPr>
              <w:pStyle w:val="Compact"/>
              <w:jc w:val="left"/>
            </w:pPr>
            <w:r>
              <w:t xml:space="preserve">34.2%</w:t>
            </w:r>
          </w:p>
        </w:tc>
      </w:tr>
      <w:tr>
        <w:tc>
          <w:tcPr/>
          <w:p>
            <w:pPr>
              <w:pStyle w:val="Compact"/>
              <w:jc w:val="left"/>
            </w:pPr>
            <w:r>
              <w:t xml:space="preserve">Digital Revenue Share</w:t>
            </w:r>
          </w:p>
        </w:tc>
        <w:tc>
          <w:tcPr>
            <w:gridSpan w:val="3"/>
          </w:tcPr>
          <w:p>
            <w:pPr>
              <w:pStyle w:val="Compact"/>
              <w:jc w:val="left"/>
            </w:pPr>
            <w:r>
              <w:t xml:space="preserve">68.4% (up 9.2% from Q2)</w:t>
            </w:r>
          </w:p>
        </w:tc>
      </w:tr>
      <w:tr>
        <w:tc>
          <w:tcPr/>
          <w:p>
            <w:pPr>
              <w:pStyle w:val="Compact"/>
              <w:jc w:val="left"/>
            </w:pPr>
            <w:r>
              <w:t xml:space="preserve">Corporate Accounts Growth</w:t>
            </w:r>
          </w:p>
        </w:tc>
        <w:tc>
          <w:tcPr/>
          <w:p>
            <w:pPr>
              <w:pStyle w:val="Compact"/>
              <w:jc w:val="left"/>
            </w:pPr>
            <w:r>
              <w:t xml:space="preserve">+17%</w:t>
            </w:r>
          </w:p>
        </w:tc>
        <w:tc>
          <w:tcPr/>
          <w:p>
            <w:pPr>
              <w:pStyle w:val="Compact"/>
              <w:jc w:val="left"/>
            </w:pPr>
            <w:r>
              <w:t xml:space="preserve">+38% YoY</w:t>
            </w:r>
          </w:p>
        </w:tc>
        <w:tc>
          <w:tcPr/>
          <w:p>
            <w:pPr>
              <w:pStyle w:val="Compact"/>
              <w:jc w:val="left"/>
            </w:pPr>
            <w:r>
              <w:t xml:space="preserve">—</w:t>
            </w:r>
          </w:p>
        </w:tc>
      </w:tr>
      <w:tr>
        <w:tc>
          <w:tcPr/>
          <w:p>
            <w:pPr>
              <w:pStyle w:val="Compact"/>
              <w:jc w:val="left"/>
            </w:pPr>
            <w:r>
              <w:t xml:space="preserve">Average Revenue Per User (ARPU)</w:t>
            </w:r>
          </w:p>
        </w:tc>
        <w:tc>
          <w:tcPr/>
          <w:p>
            <w:pPr>
              <w:pStyle w:val="Compact"/>
              <w:jc w:val="left"/>
            </w:pPr>
            <w:r>
              <w:t xml:space="preserve">S$1,425</w:t>
            </w:r>
          </w:p>
        </w:tc>
        <w:tc>
          <w:tcPr>
            <w:gridSpan w:val="2"/>
          </w:tcPr>
          <w:p>
            <w:pPr>
              <w:pStyle w:val="Compact"/>
              <w:jc w:val="left"/>
            </w:pPr>
            <w:r>
              <w:t xml:space="preserve">+8.3% YoY</w:t>
            </w:r>
          </w:p>
        </w:tc>
      </w:tr>
    </w:tbl>
    <w:p>
      <w:pPr>
        <w:pStyle w:val="BodyText"/>
      </w:pPr>
      <w:r>
        <w:t xml:space="preserve">These figures demonstrate exceptional performance in Singapore Singapore, where our digital subscription growth accelerated to 21.5% - the highest quarterly rate in ASEAN markets. The Economist's premium positioning directly aligns with Singapore Singapore's affluent consumer landscape, evidenced by a 92% renewal rate among enterprise clients. Notably, our mobile app usage in Singapore increased by 41% as busy professionals prefer accessing content during commute times on public transport networks like the Mass Rapid Transit (MRT).</w:t>
      </w:r>
    </w:p>
    <w:bookmarkEnd w:id="22"/>
    <w:bookmarkStart w:id="23" w:name="X65e8c48e7acecc47ebbacfb8759a5064c688175"/>
    <w:p>
      <w:pPr>
        <w:pStyle w:val="Heading2"/>
      </w:pPr>
      <w:r>
        <w:t xml:space="preserve">Strategic Drivers of Success in Singapore Singapore</w:t>
      </w:r>
    </w:p>
    <w:p>
      <w:pPr>
        <w:pStyle w:val="FirstParagraph"/>
      </w:pPr>
      <w:r>
        <w:t xml:space="preserve">This Sales Report identifies three pivotal factors behind The Economist's market leadership in Singapore Singapore:</w:t>
      </w:r>
    </w:p>
    <w:p>
      <w:pPr>
        <w:numPr>
          <w:ilvl w:val="0"/>
          <w:numId w:val="1001"/>
        </w:numPr>
        <w:pStyle w:val="Compact"/>
      </w:pPr>
      <w:r>
        <w:rPr>
          <w:bCs/>
          <w:b/>
        </w:rPr>
        <w:t xml:space="preserve">Localized Content Integration:</w:t>
      </w:r>
      <w:r>
        <w:t xml:space="preserve"> </w:t>
      </w:r>
      <w:r>
        <w:t xml:space="preserve">We've implemented a dedicated "Singapore Focus" editorial team that produces weekly briefings on ASEAN trade policy, Singaporean fiscal developments, and regional tech innovation. This localized content drives a 34% higher engagement rate among Singapore readers compared to global editions.</w:t>
      </w:r>
    </w:p>
    <w:p>
      <w:pPr>
        <w:numPr>
          <w:ilvl w:val="0"/>
          <w:numId w:val="1001"/>
        </w:numPr>
        <w:pStyle w:val="Compact"/>
      </w:pPr>
      <w:r>
        <w:rPr>
          <w:bCs/>
          <w:b/>
        </w:rPr>
        <w:t xml:space="preserve">Corporate Partnership Expansion:</w:t>
      </w:r>
      <w:r>
        <w:t xml:space="preserve"> </w:t>
      </w:r>
      <w:r>
        <w:t xml:space="preserve">Strategic partnerships with Singapore Singapore's top financial institutions (e.g., DBS Bank, UBS Asia) resulted in 12 new enterprise contracts this quarter. Our customized "Leadership Insights" packages for corporate clients now account for 58% of total revenue in the market.</w:t>
      </w:r>
    </w:p>
    <w:p>
      <w:pPr>
        <w:numPr>
          <w:ilvl w:val="0"/>
          <w:numId w:val="1001"/>
        </w:numPr>
        <w:pStyle w:val="Compact"/>
      </w:pPr>
      <w:r>
        <w:rPr>
          <w:bCs/>
          <w:b/>
        </w:rPr>
        <w:t xml:space="preserve">High-Value Digital Experience:</w:t>
      </w:r>
      <w:r>
        <w:t xml:space="preserve"> </w:t>
      </w:r>
      <w:r>
        <w:t xml:space="preserve">The Economist's mobile app features Singapore-specific analytics tools, including real-time updates on Monetary Authority of Singapore (MAS) policy shifts and SingTel network performance metrics. This tailored digital experience has reduced churn by 22% in Q3.</w:t>
      </w:r>
    </w:p>
    <w:bookmarkEnd w:id="23"/>
    <w:bookmarkStart w:id="24" w:name="challenges-in-the-singapore-market"/>
    <w:p>
      <w:pPr>
        <w:pStyle w:val="Heading2"/>
      </w:pPr>
      <w:r>
        <w:t xml:space="preserve">Challenges in the Singapore Market</w:t>
      </w:r>
    </w:p>
    <w:p>
      <w:pPr>
        <w:pStyle w:val="FirstParagraph"/>
      </w:pPr>
      <w:r>
        <w:t xml:space="preserve">Despite strong growth, this Sales Report identifies emerging challenges unique to Singapore Singapore:</w:t>
      </w:r>
    </w:p>
    <w:p>
      <w:pPr>
        <w:numPr>
          <w:ilvl w:val="0"/>
          <w:numId w:val="1002"/>
        </w:numPr>
        <w:pStyle w:val="Compact"/>
      </w:pPr>
      <w:r>
        <w:rPr>
          <w:bCs/>
          <w:b/>
        </w:rPr>
        <w:t xml:space="preserve">Competitive Landscape:</w:t>
      </w:r>
      <w:r>
        <w:t xml:space="preserve"> </w:t>
      </w:r>
      <w:r>
        <w:t xml:space="preserve">Increased competition from localized publications like "The Edge Malaysia" and digital platforms has pressured pricing. We've countered this by emphasizing The Economist's global perspective that complements local content.</w:t>
      </w:r>
    </w:p>
    <w:p>
      <w:pPr>
        <w:numPr>
          <w:ilvl w:val="0"/>
          <w:numId w:val="1002"/>
        </w:numPr>
        <w:pStyle w:val="Compact"/>
      </w:pPr>
      <w:r>
        <w:rPr>
          <w:bCs/>
          <w:b/>
        </w:rPr>
        <w:t xml:space="preserve">Economic Sensitivity:</w:t>
      </w:r>
      <w:r>
        <w:t xml:space="preserve"> </w:t>
      </w:r>
      <w:r>
        <w:t xml:space="preserve">While Singapore Singapore remains resilient, corporate budget constraints during Q3 led to temporary delays in 8% of new enterprise contracts. Our sales team proactively offered flexible payment terms without sacrificing value perception.</w:t>
      </w:r>
    </w:p>
    <w:p>
      <w:pPr>
        <w:numPr>
          <w:ilvl w:val="0"/>
          <w:numId w:val="1002"/>
        </w:numPr>
        <w:pStyle w:val="Compact"/>
      </w:pPr>
      <w:r>
        <w:rPr>
          <w:bCs/>
          <w:b/>
        </w:rPr>
        <w:t xml:space="preserve">Digital Ad Saturation:</w:t>
      </w:r>
      <w:r>
        <w:t xml:space="preserve"> </w:t>
      </w:r>
      <w:r>
        <w:t xml:space="preserve">Rising ad competition in digital spaces has increased customer acquisition costs by 15%. We've mitigated this through exclusive partnerships with Singaporean premium brands (e.g., Singapore Airlines' KrisFlyer) for co-branded content initiatives.</w:t>
      </w:r>
    </w:p>
    <w:bookmarkEnd w:id="24"/>
    <w:bookmarkStart w:id="25" w:name="future-growth-strategies"/>
    <w:p>
      <w:pPr>
        <w:pStyle w:val="Heading2"/>
      </w:pPr>
      <w:r>
        <w:t xml:space="preserve">Future Growth Strategies</w:t>
      </w:r>
    </w:p>
    <w:p>
      <w:pPr>
        <w:pStyle w:val="FirstParagraph"/>
      </w:pPr>
      <w:r>
        <w:t xml:space="preserve">Based on this Sales Report analysis, The Economist will implement these targeted strategies for Singapore Singapore in Q4 2023:</w:t>
      </w:r>
    </w:p>
    <w:p>
      <w:pPr>
        <w:numPr>
          <w:ilvl w:val="0"/>
          <w:numId w:val="1003"/>
        </w:numPr>
        <w:pStyle w:val="Compact"/>
      </w:pPr>
      <w:r>
        <w:rPr>
          <w:bCs/>
          <w:b/>
        </w:rPr>
        <w:t xml:space="preserve">Leverage Government Partnerships:</w:t>
      </w:r>
      <w:r>
        <w:t xml:space="preserve"> </w:t>
      </w:r>
      <w:r>
        <w:t xml:space="preserve">Collaborate with Singapore Economic Development Board (EDB) to develop "Economic Strategy Briefings" for government agencies, capitalizing on the national focus on economic diversification.</w:t>
      </w:r>
    </w:p>
    <w:p>
      <w:pPr>
        <w:numPr>
          <w:ilvl w:val="0"/>
          <w:numId w:val="1003"/>
        </w:numPr>
        <w:pStyle w:val="Compact"/>
      </w:pPr>
      <w:r>
        <w:rPr>
          <w:bCs/>
          <w:b/>
        </w:rPr>
        <w:t xml:space="preserve">Expand Premium Events:</w:t>
      </w:r>
      <w:r>
        <w:t xml:space="preserve"> </w:t>
      </w:r>
      <w:r>
        <w:t xml:space="preserve">Host exclusive The Economist Summit events in Singapore Singapore at Marina Bay Sands, featuring speakers like Senior Minister Tharman Shanmugaratnam. This builds community and drives high-value subscriptions.</w:t>
      </w:r>
    </w:p>
    <w:p>
      <w:pPr>
        <w:numPr>
          <w:ilvl w:val="0"/>
          <w:numId w:val="1003"/>
        </w:numPr>
        <w:pStyle w:val="Compact"/>
      </w:pPr>
      <w:r>
        <w:rPr>
          <w:bCs/>
          <w:b/>
        </w:rPr>
        <w:t xml:space="preserve">AI-Powered Personalization:</w:t>
      </w:r>
      <w:r>
        <w:t xml:space="preserve"> </w:t>
      </w:r>
      <w:r>
        <w:t xml:space="preserve">Launch "Singapore Intelligence" AI feature within our app that delivers hyper-personalized content based on user location, industry, and professional network in Singapore Singapore.</w:t>
      </w:r>
    </w:p>
    <w:bookmarkEnd w:id="25"/>
    <w:bookmarkStart w:id="26" w:name="X13f4e32fb72481959be8c737e3e8aff86a0d77b"/>
    <w:p>
      <w:pPr>
        <w:pStyle w:val="Heading2"/>
      </w:pPr>
      <w:r>
        <w:t xml:space="preserve">Conclusion: The Economist's Strategic Position in Singapore Singapore</w:t>
      </w:r>
    </w:p>
    <w:p>
      <w:pPr>
        <w:pStyle w:val="FirstParagraph"/>
      </w:pPr>
      <w:r>
        <w:t xml:space="preserve">This Sales Report conclusively demonstrates The Economist's commanding position as the preferred intelligence platform for business leaders across Singapore Singapore. Our growth trajectory – outperforming regional competitors by 3.2x in subscription acquisition and achieving the highest ARPU globally at S$1,425 – confirms our value proposition resonates powerfully with this sophisticated market. As we continue to deepen localization through the "Singapore Focus" initiative and expand corporate partnerships, The Economist is uniquely positioned to capture even greater market share.</w:t>
      </w:r>
    </w:p>
    <w:p>
      <w:pPr>
        <w:pStyle w:val="BodyText"/>
      </w:pPr>
      <w:r>
        <w:t xml:space="preserve">Looking ahead, Singapore Singapore will remain a critical growth engine for The Economist's global strategy. By doubling down on hyper-localized content, premium digital experiences, and strategic alliances with Singapore's economic pillars (MAS, EDB, Temasek), we project 15-18% revenue growth in Q4 2023. This Sales Report underscores that our success in Singapore Singapore isn't merely about subscriptions – it's about becoming the indispensable intellectual partner for those shaping Asia's future. We remain confident that The Economist will continue to set the standard for premium news consumption across this dynamic market.</w:t>
      </w:r>
    </w:p>
    <w:p>
      <w:pPr>
        <w:pStyle w:val="BodyText"/>
      </w:pPr>
      <w:r>
        <w:rPr>
          <w:bCs/>
          <w:b/>
        </w:rPr>
        <w:t xml:space="preserve">Prepared by:</w:t>
      </w:r>
      <w:r>
        <w:t xml:space="preserve"> </w:t>
      </w:r>
      <w:r>
        <w:t xml:space="preserve">Global Sales Intelligence Team, The Economist Group</w:t>
      </w:r>
      <w:r>
        <w:br/>
      </w:r>
      <w:r>
        <w:rPr>
          <w:bCs/>
          <w:b/>
        </w:rPr>
        <w:t xml:space="preserve">Date:</w:t>
      </w:r>
      <w:r>
        <w:t xml:space="preserve"> </w:t>
      </w:r>
      <w:r>
        <w:t xml:space="preserve">October 26, 2023</w:t>
      </w:r>
      <w:r>
        <w:br/>
      </w:r>
      <w:r>
        <w:rPr>
          <w:bCs/>
          <w:b/>
        </w:rPr>
        <w:t xml:space="preserve">Report Scope:</w:t>
      </w:r>
      <w:r>
        <w:t xml:space="preserve"> </w:t>
      </w:r>
      <w:r>
        <w:t xml:space="preserve">Singapore Singapore Market (including all territories within the Singaporean jurisdiction)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Singapore Market Performance</dc:title>
  <dc:creator/>
  <dc:language>en</dc:language>
  <cp:keywords/>
  <dcterms:created xsi:type="dcterms:W3CDTF">2026-07-21T11:09:00Z</dcterms:created>
  <dcterms:modified xsi:type="dcterms:W3CDTF">2026-07-21T11:09:00Z</dcterms:modified>
</cp:coreProperties>
</file>

<file path=docProps/custom.xml><?xml version="1.0" encoding="utf-8"?>
<Properties xmlns="http://schemas.openxmlformats.org/officeDocument/2006/custom-properties" xmlns:vt="http://schemas.openxmlformats.org/officeDocument/2006/docPropsVTypes"/>
</file>