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Spain</w:t>
      </w:r>
      <w:r>
        <w:t xml:space="preserve"> </w:t>
      </w:r>
      <w:r>
        <w:t xml:space="preserve">Madrid</w:t>
      </w:r>
      <w:r>
        <w:t xml:space="preserve"> </w:t>
      </w:r>
      <w:r>
        <w:t xml:space="preserve">Market</w:t>
      </w:r>
    </w:p>
    <w:bookmarkStart w:id="27" w:name="X2370c7a4afdc6e4e975a5b709b5091d7de85c1b"/>
    <w:p>
      <w:pPr>
        <w:pStyle w:val="Heading1"/>
      </w:pPr>
      <w:r>
        <w:t xml:space="preserve">2024 Comprehensive Sales Performance Report: The Economist in Spain Madrid Market</w:t>
      </w:r>
    </w:p>
    <w:p>
      <w:pPr>
        <w:pStyle w:val="FirstParagraph"/>
      </w:pPr>
      <w:r>
        <w:t xml:space="preserve">This official sales report details the strategic performance of</w:t>
      </w:r>
      <w:r>
        <w:t xml:space="preserve"> </w:t>
      </w:r>
      <w:r>
        <w:rPr>
          <w:bCs/>
          <w:b/>
        </w:rPr>
        <w:t xml:space="preserve">The Economist</w:t>
      </w:r>
      <w:r>
        <w:t xml:space="preserve"> </w:t>
      </w:r>
      <w:r>
        <w:t xml:space="preserve">within the pivotal market of Spain, with a specific focus on Madrid as the central hub for business, political, and economic decision-making. As Spain's capital and Europe's fourth-largest economy, Madrid represents a critical growth frontier for The Economist's premium subscription model. This document synthesizes Q1–Q3 2024 performance data, market analysis, strategic initiatives, and forward-looking recommendations tailored to the Madrid-centric Spanish marketplace.</w:t>
      </w:r>
    </w:p>
    <w:bookmarkStart w:id="20" w:name="executive-summary"/>
    <w:p>
      <w:pPr>
        <w:pStyle w:val="Heading2"/>
      </w:pPr>
      <w:r>
        <w:t xml:space="preserve">Executive Summary</w:t>
      </w:r>
    </w:p>
    <w:p>
      <w:pPr>
        <w:pStyle w:val="FirstParagraph"/>
      </w:pPr>
      <w:r>
        <w:t xml:space="preserve">The Economist's sales performance in Spain Madrid has demonstrated resilient growth amid regional economic headwinds. Madrid-based subscriptions increased by 18.7% year-over-year (YoY) during Q1–Q3 2024, significantly outperforming the European average of 5.2%. This success is attributed to targeted engagement with Madrid's executive ecosystem—comprising multinational headquarters, financial institutions in Paseo de la Castellana, and policy think tanks. Total revenue from Spain Madrid reached €1.84M (up 22% YoY), capturing 37% of The Economist’s total Iberian Peninsula revenue. Critically, Madrid continues to drive 56% of all premium digital subscriptions in Spain, affirming its status as the undisputed economic nerve center for our brand.</w:t>
      </w:r>
    </w:p>
    <w:bookmarkEnd w:id="20"/>
    <w:bookmarkStart w:id="21" w:name="market-analysis-why-madrid-matters"/>
    <w:p>
      <w:pPr>
        <w:pStyle w:val="Heading2"/>
      </w:pPr>
      <w:r>
        <w:t xml:space="preserve">Market Analysis: Why Madrid Matters</w:t>
      </w:r>
    </w:p>
    <w:p>
      <w:pPr>
        <w:pStyle w:val="FirstParagraph"/>
      </w:pPr>
      <w:r>
        <w:t xml:space="preserve">Spain Madrid is not merely a regional market—it is the strategic epicenter where The Economist’s content directly influences national policy and corporate strategy. With over 68% of Spain’s Fortune 500 headquarters located in Madrid (including Banco Santander, BBVA, and Iberia), the city serves as a natural convergence point for our target audience: C-suite executives, policymakers, and financial analysts. The Economist’s geopolitical analysis has proven exceptionally valuable in this context, particularly regarding EU regulatory shifts impacting Spanish markets (e.g., the Digital Services Act implementation) and Madrid’s strategic role in Spain’s 2024 economic recovery plan.</w:t>
      </w:r>
    </w:p>
    <w:p>
      <w:pPr>
        <w:pStyle w:val="BodyText"/>
      </w:pPr>
      <w:r>
        <w:t xml:space="preserve">Competitive dynamics in Madrid reveal a notable opportunity: while local publications like</w:t>
      </w:r>
      <w:r>
        <w:t xml:space="preserve"> </w:t>
      </w:r>
      <w:r>
        <w:rPr>
          <w:iCs/>
          <w:i/>
        </w:rPr>
        <w:t xml:space="preserve">El Economista</w:t>
      </w:r>
      <w:r>
        <w:t xml:space="preserve"> </w:t>
      </w:r>
      <w:r>
        <w:t xml:space="preserve">dominate daily business news, they lack The Economist’s global lens. Our surveys indicate 74% of Madrid-based subscribers cite "unique international perspective" as the primary reason for choosing The Economist over Spanish competitors—a key differentiator in Madrid’s sophisticated media landscape.</w:t>
      </w:r>
    </w:p>
    <w:bookmarkEnd w:id="21"/>
    <w:bookmarkStart w:id="22" w:name="key-sales-performance-metrics-q1q3-2024"/>
    <w:p>
      <w:pPr>
        <w:pStyle w:val="Heading2"/>
      </w:pPr>
      <w:r>
        <w:t xml:space="preserve">Key Sales Performance Metrics (Q1–Q3 2024)</w:t>
      </w:r>
    </w:p>
    <w:p>
      <w:pPr>
        <w:pStyle w:val="FirstParagraph"/>
      </w:pPr>
      <w:r>
        <w:t xml:space="preserve">Performance Indicator</w:t>
      </w:r>
    </w:p>
    <w:p>
      <w:pPr>
        <w:pStyle w:val="BodyText"/>
      </w:pPr>
      <w:r>
        <w:t xml:space="preserve">Q3 2023</w:t>
      </w:r>
    </w:p>
    <w:p>
      <w:pPr>
        <w:pStyle w:val="BodyText"/>
      </w:pPr>
      <w:r>
        <w:t xml:space="preserve">Q3 2024</w:t>
      </w:r>
    </w:p>
    <w:p>
      <w:pPr>
        <w:pStyle w:val="BodyText"/>
      </w:pPr>
      <w:r>
        <w:t xml:space="preserve">% Change (YoY)</w:t>
      </w:r>
    </w:p>
    <w:p>
      <w:pPr>
        <w:pStyle w:val="BodyText"/>
      </w:pPr>
      <w:r>
        <w:t xml:space="preserve">Total Subscribers (Madrid)</w:t>
      </w:r>
    </w:p>
    <w:p>
      <w:pPr>
        <w:pStyle w:val="BodyText"/>
      </w:pPr>
      <w:r>
        <w:t xml:space="preserve">1,850</w:t>
      </w:r>
    </w:p>
    <w:p>
      <w:pPr>
        <w:pStyle w:val="BodyText"/>
      </w:pPr>
      <w:r>
        <w:t xml:space="preserve">2,195</w:t>
      </w:r>
    </w:p>
    <w:p>
      <w:pPr>
        <w:pStyle w:val="BodyText"/>
      </w:pPr>
      <w:r>
        <w:t xml:space="preserve">+18.7%</w:t>
      </w:r>
    </w:p>
    <w:p>
      <w:pPr>
        <w:pStyle w:val="BodyText"/>
      </w:pPr>
      <w:r>
        <w:t xml:space="preserve">Digital Subscription Share</w:t>
      </w:r>
    </w:p>
    <w:p>
      <w:pPr>
        <w:pStyle w:val="BodyText"/>
      </w:pPr>
      <w:r>
        <w:t xml:space="preserve">63%</w:t>
      </w:r>
    </w:p>
    <w:p>
      <w:pPr>
        <w:pStyle w:val="BodyText"/>
      </w:pPr>
      <w:r>
        <w:t xml:space="preserve">&lt;</w:t>
      </w:r>
    </w:p>
    <w:p>
      <w:pPr>
        <w:pStyle w:val="BodyText"/>
      </w:pPr>
      <w:r>
        <w:t xml:space="preserve">74%</w:t>
      </w:r>
    </w:p>
    <w:p>
      <w:pPr>
        <w:pStyle w:val="BodyText"/>
      </w:pPr>
      <w:r>
        <w:t xml:space="preserve">&lt;</w:t>
      </w:r>
    </w:p>
    <w:p>
      <w:pPr>
        <w:pStyle w:val="BodyText"/>
      </w:pPr>
      <w:r>
        <w:t xml:space="preserve">+11pts</w:t>
      </w:r>
    </w:p>
    <w:p>
      <w:pPr>
        <w:pStyle w:val="BodyText"/>
      </w:pPr>
      <w:r>
        <w:t xml:space="preserve">New Business from Corporate Partnerships</w:t>
      </w:r>
    </w:p>
    <w:p>
      <w:pPr>
        <w:pStyle w:val="BodyText"/>
      </w:pPr>
      <w:r>
        <w:t xml:space="preserve">€280K</w:t>
      </w:r>
    </w:p>
    <w:p>
      <w:pPr>
        <w:pStyle w:val="BodyText"/>
      </w:pPr>
      <w:r>
        <w:t xml:space="preserve">&lt;</w:t>
      </w:r>
    </w:p>
    <w:p>
      <w:pPr>
        <w:pStyle w:val="BodyText"/>
      </w:pPr>
      <w:r>
        <w:t xml:space="preserve">€465K</w:t>
      </w:r>
    </w:p>
    <w:p>
      <w:pPr>
        <w:pStyle w:val="BodyText"/>
      </w:pPr>
      <w:r>
        <w:t xml:space="preserve">Average Revenue Per User (ARPU)</w:t>
      </w:r>
    </w:p>
    <w:p>
      <w:pPr>
        <w:pStyle w:val="BodyText"/>
      </w:pPr>
      <w:r>
        <w:t xml:space="preserve">€322</w:t>
      </w:r>
    </w:p>
    <w:p>
      <w:pPr>
        <w:pStyle w:val="BodyText"/>
      </w:pPr>
      <w:r>
        <w:t xml:space="preserve">€347</w:t>
      </w:r>
    </w:p>
    <w:p>
      <w:pPr>
        <w:pStyle w:val="BodyText"/>
      </w:pPr>
      <w:r>
        <w:t xml:space="preserve">The data underscores two critical trends: first, a 41% YoY surge in corporate bulk subscriptions driven by Madrid-based firms seeking The Economist’s executive insights for boardroom strategy sessions. Second, digital adoption has accelerated (up 36% YoY), reflecting Madrid's tech-forward business culture and the success of our mobile-optimized "Economist Daily Briefing" tailored to European time zones.</w:t>
      </w:r>
    </w:p>
    <w:bookmarkEnd w:id="22"/>
    <w:bookmarkStart w:id="23" w:name="strategic-initiatives-driving-success"/>
    <w:p>
      <w:pPr>
        <w:pStyle w:val="Heading2"/>
      </w:pPr>
      <w:r>
        <w:t xml:space="preserve">Strategic Initiatives Driving Success</w:t>
      </w:r>
    </w:p>
    <w:p>
      <w:pPr>
        <w:pStyle w:val="FirstParagraph"/>
      </w:pPr>
      <w:r>
        <w:t xml:space="preserve">The Economist Spain Madrid team implemented three market-specific initiatives that directly contributed to this growth:</w:t>
      </w:r>
    </w:p>
    <w:p>
      <w:pPr>
        <w:numPr>
          <w:ilvl w:val="0"/>
          <w:numId w:val="1001"/>
        </w:numPr>
        <w:pStyle w:val="Compact"/>
      </w:pPr>
      <w:r>
        <w:rPr>
          <w:bCs/>
          <w:b/>
        </w:rPr>
        <w:t xml:space="preserve">Madrid Executive Roundtables:</w:t>
      </w:r>
      <w:r>
        <w:t xml:space="preserve"> </w:t>
      </w:r>
      <w:r>
        <w:t xml:space="preserve">Quarterly in-person events for C-suite clients at premium venues like the Royal Palace's cultural center (e.g., "Geopolitics of Iberian Energy Transition" session with 127 attendees). These generated 42 new corporate contracts and strengthened brand loyalty.</w:t>
      </w:r>
    </w:p>
    <w:p>
      <w:pPr>
        <w:numPr>
          <w:ilvl w:val="0"/>
          <w:numId w:val="1001"/>
        </w:numPr>
        <w:pStyle w:val="Compact"/>
      </w:pPr>
      <w:r>
        <w:rPr>
          <w:bCs/>
          <w:b/>
        </w:rPr>
        <w:t xml:space="preserve">Localized Content Campaigns:</w:t>
      </w:r>
      <w:r>
        <w:t xml:space="preserve"> </w:t>
      </w:r>
      <w:r>
        <w:t xml:space="preserve">Exclusive Spanish-language analysis on Madrid-specific issues (e.g., "The Impact of Spain’s New Innovation Tax Credits on Madrid Tech Startups"), distributed via targeted email and LinkedIn. This campaign achieved a 29% open rate among Madrid business contacts—double the global average.</w:t>
      </w:r>
    </w:p>
    <w:p>
      <w:pPr>
        <w:numPr>
          <w:ilvl w:val="0"/>
          <w:numId w:val="1001"/>
        </w:numPr>
        <w:pStyle w:val="Compact"/>
      </w:pPr>
      <w:r>
        <w:rPr>
          <w:bCs/>
          <w:b/>
        </w:rPr>
        <w:t xml:space="preserve">University Partnerships:</w:t>
      </w:r>
      <w:r>
        <w:t xml:space="preserve"> </w:t>
      </w:r>
      <w:r>
        <w:t xml:space="preserve">Collaborating with IE Business School and Universidad Complutense de Madrid to offer student subscriptions at discounted rates, creating early brand affinity among future decision-makers in Spain’s economic capital.</w:t>
      </w:r>
    </w:p>
    <w:bookmarkEnd w:id="23"/>
    <w:bookmarkStart w:id="24" w:name="challenges-mitigation-strategies"/>
    <w:p>
      <w:pPr>
        <w:pStyle w:val="Heading2"/>
      </w:pPr>
      <w:r>
        <w:t xml:space="preserve">Challenges &amp; Mitigation Strategies</w:t>
      </w:r>
    </w:p>
    <w:p>
      <w:pPr>
        <w:pStyle w:val="FirstParagraph"/>
      </w:pPr>
      <w:r>
        <w:t xml:space="preserve">Spain Madrid faces unique market challenges. The 3.4% GDP growth slowdown in Q2 2024 (down from 5.1% in Q1) caused temporary hesitancy among mid-sized firms to commit to premium subscriptions. To counter this, The Economist Spain Madrid team launched a "Strategic Insight Package" offering bundled access to our</w:t>
      </w:r>
      <w:r>
        <w:t xml:space="preserve"> </w:t>
      </w:r>
      <w:r>
        <w:rPr>
          <w:iCs/>
          <w:i/>
        </w:rPr>
        <w:t xml:space="preserve">Special Reports</w:t>
      </w:r>
      <w:r>
        <w:t xml:space="preserve"> </w:t>
      </w:r>
      <w:r>
        <w:t xml:space="preserve">on inflation and labor reform—proven to reduce churn by 23% in the affected segment.</w:t>
      </w:r>
    </w:p>
    <w:p>
      <w:pPr>
        <w:pStyle w:val="BodyText"/>
      </w:pPr>
      <w:r>
        <w:t xml:space="preserve">Additionally, competition from free news platforms (e.g., Bloomberg Español) intensified during economic uncertainty. Our response was a targeted email campaign highlighting The Economist’s value proposition: "Why $347/year for actionable global insight beats $0/day for fragmented news" — which saw a 15% conversion uplift in Madrid.</w:t>
      </w:r>
    </w:p>
    <w:bookmarkEnd w:id="24"/>
    <w:bookmarkStart w:id="25" w:name="forward-looking-recommendations"/>
    <w:p>
      <w:pPr>
        <w:pStyle w:val="Heading2"/>
      </w:pPr>
      <w:r>
        <w:t xml:space="preserve">Forward-Looking Recommendations</w:t>
      </w:r>
    </w:p>
    <w:p>
      <w:pPr>
        <w:pStyle w:val="FirstParagraph"/>
      </w:pPr>
      <w:r>
        <w:t xml:space="preserve">Based on Q3 2024 data, we recommend three priority actions to sustain momentum in Spain Madrid:</w:t>
      </w:r>
    </w:p>
    <w:p>
      <w:pPr>
        <w:numPr>
          <w:ilvl w:val="0"/>
          <w:numId w:val="1002"/>
        </w:numPr>
        <w:pStyle w:val="Compact"/>
      </w:pPr>
      <w:r>
        <w:rPr>
          <w:bCs/>
          <w:b/>
        </w:rPr>
        <w:t xml:space="preserve">Expand Corporate "Executive Access" Tiers:</w:t>
      </w:r>
      <w:r>
        <w:t xml:space="preserve"> </w:t>
      </w:r>
      <w:r>
        <w:t xml:space="preserve">Develop a Madrid-specific tier for SMEs (€199/year) with localized market analysis, targeting the 5.2K SMEs in Madrid’s Chamber of Commerce database.</w:t>
      </w:r>
    </w:p>
    <w:p>
      <w:pPr>
        <w:numPr>
          <w:ilvl w:val="0"/>
          <w:numId w:val="1002"/>
        </w:numPr>
        <w:pStyle w:val="Compact"/>
      </w:pPr>
      <w:r>
        <w:rPr>
          <w:bCs/>
          <w:b/>
        </w:rPr>
        <w:t xml:space="preserve">Leverage Madrid’s EU Policy Hub:</w:t>
      </w:r>
      <w:r>
        <w:t xml:space="preserve"> </w:t>
      </w:r>
      <w:r>
        <w:t xml:space="preserve">Partner with the European Council of Spanish Business (CEOE) to co-host events on EU regulatory changes, positioning The Economist as essential for navigating Brussels-driven policy impacts on Madrid firms.</w:t>
      </w:r>
    </w:p>
    <w:p>
      <w:pPr>
        <w:numPr>
          <w:ilvl w:val="0"/>
          <w:numId w:val="1002"/>
        </w:numPr>
        <w:pStyle w:val="Compact"/>
      </w:pPr>
      <w:r>
        <w:rPr>
          <w:bCs/>
          <w:b/>
        </w:rPr>
        <w:t xml:space="preserve">Boost Digital Personalization:</w:t>
      </w:r>
      <w:r>
        <w:t xml:space="preserve"> </w:t>
      </w:r>
      <w:r>
        <w:t xml:space="preserve">Implement AI-driven content recommendations based on Madrid readers’ industry preferences (e.g., finance vs. energy), targeting a 25% increase in digital engagement by Q1 2025.</w:t>
      </w:r>
    </w:p>
    <w:bookmarkEnd w:id="25"/>
    <w:bookmarkStart w:id="26" w:name="conclusion"/>
    <w:p>
      <w:pPr>
        <w:pStyle w:val="Heading2"/>
      </w:pPr>
      <w:r>
        <w:t xml:space="preserve">Conclusion</w:t>
      </w:r>
    </w:p>
    <w:p>
      <w:pPr>
        <w:pStyle w:val="FirstParagraph"/>
      </w:pPr>
      <w:r>
        <w:t xml:space="preserve">The Economist’s success in Spain Madrid is unequivocally rooted in our deep alignment with the city’s economic identity. As the capital of a nation increasingly pivotal to EU strategy, Madrid demands content that transcends local news—offering the geopolitical and economic foresight The Economist uniquely delivers. Our 18.7% YoY growth here validates this approach, with Madrid now serving as both a profit center and a model for other Iberian markets.</w:t>
      </w:r>
    </w:p>
    <w:p>
      <w:pPr>
        <w:pStyle w:val="BodyText"/>
      </w:pPr>
      <w:r>
        <w:t xml:space="preserve">For Spain’s business elite, The Economist is not merely a publication—it is the strategic intelligence engine powering decisions in Madrid’s boardrooms. As Spain navigates post-pandemic recovery and EU integration challenges, the relevance of this positioning will only deepen. We project 20% growth for Spain Madrid in full-year 2024, with Madrid continuing to lead The Economist’s European expansion narrative.</w:t>
      </w:r>
    </w:p>
    <w:p>
      <w:pPr>
        <w:pStyle w:val="BodyText"/>
      </w:pPr>
      <w:r>
        <w:rPr>
          <w:bCs/>
          <w:b/>
        </w:rPr>
        <w:t xml:space="preserve">Prepared for: The Economist Global Sales Leadership</w:t>
      </w:r>
      <w:r>
        <w:br/>
      </w:r>
      <w:r>
        <w:rPr>
          <w:bCs/>
          <w:b/>
        </w:rPr>
        <w:t xml:space="preserve">Region: Iberia (Spain Madrid Focus)</w:t>
      </w:r>
      <w:r>
        <w:br/>
      </w:r>
      <w:r>
        <w:rPr>
          <w:bCs/>
          <w:b/>
        </w:rPr>
        <w:t xml:space="preserve">Date: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Sales Report: The Economist in Spain Madrid Market</dc:title>
  <dc:creator/>
  <dc:language>en</dc:language>
  <cp:keywords/>
  <dcterms:created xsi:type="dcterms:W3CDTF">2026-07-23T11:50:33Z</dcterms:created>
  <dcterms:modified xsi:type="dcterms:W3CDTF">2026-07-23T11:50:33Z</dcterms:modified>
</cp:coreProperties>
</file>

<file path=docProps/custom.xml><?xml version="1.0" encoding="utf-8"?>
<Properties xmlns="http://schemas.openxmlformats.org/officeDocument/2006/custom-properties" xmlns:vt="http://schemas.openxmlformats.org/officeDocument/2006/docPropsVTypes"/>
</file>