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Turkey</w:t>
      </w:r>
      <w:r>
        <w:t xml:space="preserve"> </w:t>
      </w:r>
      <w:r>
        <w:t xml:space="preserve">Istanbul</w:t>
      </w:r>
      <w:r>
        <w:t xml:space="preserve"> </w:t>
      </w:r>
      <w:r>
        <w:t xml:space="preserve">Market</w:t>
      </w:r>
    </w:p>
    <w:bookmarkStart w:id="27" w:name="Xbb02cab4e1a847423d4b69eb43c92c10283a253"/>
    <w:p>
      <w:pPr>
        <w:pStyle w:val="Heading1"/>
      </w:pPr>
      <w:r>
        <w:t xml:space="preserve">SALES REPORT: THE ECONOMIST'S MARKET PERFORMANCE IN TURKEY ISTANBUL</w:t>
      </w:r>
    </w:p>
    <w:p>
      <w:pPr>
        <w:pStyle w:val="FirstParagraph"/>
      </w:pPr>
      <w:r>
        <w:t xml:space="preserve">Quarterly Analysis | Q2 2024 | Prepared for Global Sales Leadership</w:t>
      </w:r>
    </w:p>
    <w:bookmarkStart w:id="20" w:name="executive-summary"/>
    <w:p>
      <w:pPr>
        <w:pStyle w:val="Heading2"/>
      </w:pPr>
      <w:r>
        <w:t xml:space="preserve">Executive Summary</w:t>
      </w:r>
    </w:p>
    <w:p>
      <w:pPr>
        <w:pStyle w:val="FirstParagraph"/>
      </w:pPr>
      <w:r>
        <w:t xml:space="preserve">This comprehensive Sales Report details The Economist's strategic positioning and performance within the Turkish market, with Istanbul serving as the epicenter of our commercial operations in Turkey. As a globally recognized publication delivering authoritative economic analysis, our sales trajectory in Istanbul demonstrates significant growth potential amid Turkey's dynamic economic landscape. This report confirms that Istanbul remains the single most valuable metropolitan market for The Economist in Turkey, accounting for 78% of all Turkish subscriptions and 65% of digital engagement across the national territory. With strategic localization initiatives underway, we project a 22% year-over-year subscription growth in Istanbul by Q4 2024.</w:t>
      </w:r>
    </w:p>
    <w:bookmarkEnd w:id="20"/>
    <w:bookmarkStart w:id="21" w:name="market-context-why-istanbul-matters"/>
    <w:p>
      <w:pPr>
        <w:pStyle w:val="Heading2"/>
      </w:pPr>
      <w:r>
        <w:t xml:space="preserve">Market Context: Why Istanbul Matters</w:t>
      </w:r>
    </w:p>
    <w:p>
      <w:pPr>
        <w:pStyle w:val="FirstParagraph"/>
      </w:pPr>
      <w:r>
        <w:t xml:space="preserve">Istanbul's unique position as Turkey's economic capital—home to 58% of the country's Fortune 500 headquarters, major financial institutions like Borsa Istanbul, and a concentration of multinational corporations—makes it indispensable for The Economist. This city represents Turkey's most sophisticated audience seeking international business intelligence. Unlike other Turkish cities where local newspapers dominate, Istanbul's elite business community actively seeks global perspectives to navigate Turkey's complex economic environment (including currency volatility, inflation challenges, and trade policy shifts). Our sales data confirms that 89% of Istanbul subscribers are corporate decision-makers or high-net-worth individuals requiring The Economist's geopolitical analysis for strategic planning.</w:t>
      </w:r>
    </w:p>
    <w:bookmarkEnd w:id="21"/>
    <w:bookmarkStart w:id="22" w:name="q2-2024-sales-performance-istanbul-focus"/>
    <w:p>
      <w:pPr>
        <w:pStyle w:val="Heading2"/>
      </w:pPr>
      <w:r>
        <w:t xml:space="preserve">Q2 2024 Sales Performance: Istanbul Focus</w:t>
      </w:r>
    </w:p>
    <w:p>
      <w:pPr>
        <w:pStyle w:val="FirstParagraph"/>
      </w:pPr>
      <w:r>
        <w:t xml:space="preserve">Metrics</w:t>
      </w:r>
    </w:p>
    <w:p>
      <w:pPr>
        <w:pStyle w:val="BodyText"/>
      </w:pPr>
      <w:r>
        <w:t xml:space="preserve">Q2 2024</w:t>
      </w:r>
    </w:p>
    <w:p>
      <w:pPr>
        <w:pStyle w:val="BodyText"/>
      </w:pPr>
      <w:r>
        <w:t xml:space="preserve">Q1 2024</w:t>
      </w:r>
    </w:p>
    <w:p>
      <w:pPr>
        <w:pStyle w:val="BodyText"/>
      </w:pPr>
      <w:r>
        <w:t xml:space="preserve">% Change (QoQ)</w:t>
      </w:r>
    </w:p>
    <w:p>
      <w:pPr>
        <w:pStyle w:val="BodyText"/>
      </w:pPr>
      <w:r>
        <w:t xml:space="preserve">Digital Subscriptions (Istanbul)</w:t>
      </w:r>
    </w:p>
    <w:p>
      <w:pPr>
        <w:pStyle w:val="BodyText"/>
      </w:pPr>
      <w:r>
        <w:t xml:space="preserve">$186,500</w:t>
      </w:r>
    </w:p>
    <w:p>
      <w:pPr>
        <w:pStyle w:val="BodyText"/>
      </w:pPr>
      <w:r>
        <w:t xml:space="preserve">$169,200</w:t>
      </w:r>
    </w:p>
    <w:p>
      <w:pPr>
        <w:pStyle w:val="BodyText"/>
      </w:pPr>
      <w:r>
        <w:t xml:space="preserve">+10.2%</w:t>
      </w:r>
    </w:p>
    <w:p>
      <w:pPr>
        <w:pStyle w:val="BodyText"/>
      </w:pPr>
      <w:r>
        <w:t xml:space="preserve">Print Subscriptions (Istanbul)</w:t>
      </w:r>
    </w:p>
    <w:p>
      <w:pPr>
        <w:pStyle w:val="BodyText"/>
      </w:pPr>
      <w:r>
        <w:t xml:space="preserve">$48,300</w:t>
      </w:r>
    </w:p>
    <w:p>
      <w:pPr>
        <w:pStyle w:val="BodyText"/>
      </w:pPr>
      <w:r>
        <w:t xml:space="preserve">$45,700</w:t>
      </w:r>
    </w:p>
    <w:p>
      <w:pPr>
        <w:pStyle w:val="BodyText"/>
      </w:pPr>
      <w:r>
        <w:t xml:space="preserve">+5.7%</w:t>
      </w:r>
    </w:p>
    <w:p>
      <w:pPr>
        <w:pStyle w:val="BodyText"/>
      </w:pPr>
      <w:r>
        <w:t xml:space="preserve">Total Istanbul Revenue</w:t>
      </w:r>
    </w:p>
    <w:p>
      <w:pPr>
        <w:pStyle w:val="BodyText"/>
      </w:pPr>
      <w:r>
        <w:rPr>
          <w:bCs/>
          <w:b/>
        </w:rPr>
        <w:t xml:space="preserve">$234,800</w:t>
      </w:r>
    </w:p>
    <w:p>
      <w:pPr>
        <w:pStyle w:val="BodyText"/>
      </w:pPr>
      <w:r>
        <w:t xml:space="preserve">$214,900</w:t>
      </w:r>
    </w:p>
    <w:p>
      <w:pPr>
        <w:pStyle w:val="BodyText"/>
      </w:pPr>
      <w:r>
        <w:rPr>
          <w:bCs/>
          <w:b/>
        </w:rPr>
        <w:t xml:space="preserve">+9.3%</w:t>
      </w:r>
    </w:p>
    <w:p>
      <w:pPr>
        <w:pStyle w:val="BodyText"/>
      </w:pPr>
      <w:r>
        <w:t xml:space="preserve">Corporate Accounts (Istanbul)</w:t>
      </w:r>
    </w:p>
    <w:p>
      <w:pPr>
        <w:pStyle w:val="BodyText"/>
      </w:pPr>
      <w:r>
        <w:t xml:space="preserve">187 accounts (+22 new)</w:t>
      </w:r>
    </w:p>
    <w:p>
      <w:pPr>
        <w:pStyle w:val="BodyText"/>
      </w:pPr>
      <w:r>
        <w:t xml:space="preserve">165 accounts</w:t>
      </w:r>
    </w:p>
    <w:p>
      <w:pPr>
        <w:pStyle w:val="BodyText"/>
      </w:pPr>
      <w:r>
        <w:t xml:space="preserve">+13.3%</w:t>
      </w:r>
    </w:p>
    <w:p>
      <w:pPr>
        <w:pStyle w:val="BodyText"/>
      </w:pPr>
      <w:r>
        <w:t xml:space="preserve">The Istanbul market demonstrated exceptional resilience during Turkey's recent economic volatility, with digital subscriptions growing at 2.3x the national average. The surge in corporate account acquisitions (particularly in banking and energy sectors) directly correlates with The Economist's localized coverage of Turkey's Central Bank policy shifts and Eurozone trade dynamics. Notably, our Istanbul sales team achieved a 31% conversion rate from leads—exceeding global benchmarks by 9 percentage points—due to tailored client engagement strategies.</w:t>
      </w:r>
    </w:p>
    <w:bookmarkEnd w:id="22"/>
    <w:bookmarkStart w:id="23" w:name="localized-strategy-driving-growth"/>
    <w:p>
      <w:pPr>
        <w:pStyle w:val="Heading2"/>
      </w:pPr>
      <w:r>
        <w:t xml:space="preserve">Localized Strategy Driving Growth</w:t>
      </w:r>
    </w:p>
    <w:p>
      <w:pPr>
        <w:pStyle w:val="FirstParagraph"/>
      </w:pPr>
      <w:r>
        <w:t xml:space="preserve">Our success in Istanbul hinges on strategic localization without compromising The Economist's global editorial integrity. Key initiatives include:</w:t>
      </w:r>
    </w:p>
    <w:p>
      <w:pPr>
        <w:numPr>
          <w:ilvl w:val="0"/>
          <w:numId w:val="1001"/>
        </w:numPr>
        <w:pStyle w:val="Compact"/>
      </w:pPr>
      <w:r>
        <w:rPr>
          <w:bCs/>
          <w:b/>
        </w:rPr>
        <w:t xml:space="preserve">Content Adaptation:</w:t>
      </w:r>
      <w:r>
        <w:t xml:space="preserve"> </w:t>
      </w:r>
      <w:r>
        <w:t xml:space="preserve">Monthly "Turkish Economy Briefings" (in Turkish-English bilingual format) analyzing local fiscal policies, published in tandem with our flagship issue. These briefings increased reader retention by 34% among Istanbul subscribers.</w:t>
      </w:r>
    </w:p>
    <w:p>
      <w:pPr>
        <w:numPr>
          <w:ilvl w:val="0"/>
          <w:numId w:val="1001"/>
        </w:numPr>
        <w:pStyle w:val="Compact"/>
      </w:pPr>
      <w:r>
        <w:rPr>
          <w:bCs/>
          <w:b/>
        </w:rPr>
        <w:t xml:space="preserve">Cultural Integration:</w:t>
      </w:r>
      <w:r>
        <w:t xml:space="preserve"> </w:t>
      </w:r>
      <w:r>
        <w:t xml:space="preserve">Hosting quarterly "Economist Istanbul Dialogues" at venues like The Marmara Hotel and Galata Tower, featuring Turkish ministers and IMF representatives discussing Turkey's economic trajectory—attended by 87% of corporate clients.</w:t>
      </w:r>
    </w:p>
    <w:p>
      <w:pPr>
        <w:numPr>
          <w:ilvl w:val="0"/>
          <w:numId w:val="1001"/>
        </w:numPr>
        <w:pStyle w:val="Compact"/>
      </w:pPr>
      <w:r>
        <w:rPr>
          <w:bCs/>
          <w:b/>
        </w:rPr>
        <w:t xml:space="preserve">Digital Optimization:</w:t>
      </w:r>
      <w:r>
        <w:t xml:space="preserve"> </w:t>
      </w:r>
      <w:r>
        <w:t xml:space="preserve">Launching a Turkish-language mobile app interface (June 2024) that increased Istanbul digital engagement by 58%, with subscription conversion rates rising from 1.4% to 3.9% post-launch.</w:t>
      </w:r>
    </w:p>
    <w:bookmarkEnd w:id="23"/>
    <w:bookmarkStart w:id="24" w:name="Xb7631346563ded5ad9f6510ae52cb888ed1a4e0"/>
    <w:p>
      <w:pPr>
        <w:pStyle w:val="Heading2"/>
      </w:pPr>
      <w:r>
        <w:t xml:space="preserve">Challenges in the Turkey Istanbul Landscape</w:t>
      </w:r>
    </w:p>
    <w:p>
      <w:pPr>
        <w:pStyle w:val="FirstParagraph"/>
      </w:pPr>
      <w:r>
        <w:t xml:space="preserve">Despite strong growth, three challenges require strategic mitigation:</w:t>
      </w:r>
    </w:p>
    <w:p>
      <w:pPr>
        <w:numPr>
          <w:ilvl w:val="0"/>
          <w:numId w:val="1002"/>
        </w:numPr>
        <w:pStyle w:val="Compact"/>
      </w:pPr>
      <w:r>
        <w:rPr>
          <w:bCs/>
          <w:b/>
        </w:rPr>
        <w:t xml:space="preserve">Economic Volatility:</w:t>
      </w:r>
      <w:r>
        <w:t xml:space="preserve"> </w:t>
      </w:r>
      <w:r>
        <w:t xml:space="preserve">Turkish lira fluctuations complicate pricing strategies. In Q2, 37% of corporate subscriptions paused during the April currency devaluation but resumed within two weeks as The Economist maintained stable pricing.</w:t>
      </w:r>
    </w:p>
    <w:p>
      <w:pPr>
        <w:numPr>
          <w:ilvl w:val="0"/>
          <w:numId w:val="1002"/>
        </w:numPr>
        <w:pStyle w:val="Compact"/>
      </w:pPr>
      <w:r>
        <w:rPr>
          <w:bCs/>
          <w:b/>
        </w:rPr>
        <w:t xml:space="preserve">Competition:</w:t>
      </w:r>
      <w:r>
        <w:t xml:space="preserve"> </w:t>
      </w:r>
      <w:r>
        <w:t xml:space="preserve">Local publications like Hürriyet and Zaman offer cheaper alternatives, yet Istanbul's premium audience consistently demonstrates willingness to pay a 40% premium for The Economist's global perspective on Turkey's economic challenges.</w:t>
      </w:r>
    </w:p>
    <w:p>
      <w:pPr>
        <w:numPr>
          <w:ilvl w:val="0"/>
          <w:numId w:val="1002"/>
        </w:numPr>
        <w:pStyle w:val="Compact"/>
      </w:pPr>
      <w:r>
        <w:rPr>
          <w:bCs/>
          <w:b/>
        </w:rPr>
        <w:t xml:space="preserve">Digital Fragmentation:</w:t>
      </w:r>
      <w:r>
        <w:t xml:space="preserve"> </w:t>
      </w:r>
      <w:r>
        <w:t xml:space="preserve">Social media regulations affect our digital outreach. We've partnered with Istanbul-based influencers (e.g., economist @MehmetKaya) for verified content sharing, boosting organic reach by 63% in Q2.</w:t>
      </w:r>
    </w:p>
    <w:bookmarkEnd w:id="24"/>
    <w:bookmarkStart w:id="25" w:name="growth-projections-strategic-roadmap"/>
    <w:p>
      <w:pPr>
        <w:pStyle w:val="Heading2"/>
      </w:pPr>
      <w:r>
        <w:t xml:space="preserve">Growth Projections &amp; Strategic Roadmap</w:t>
      </w:r>
    </w:p>
    <w:p>
      <w:pPr>
        <w:pStyle w:val="FirstParagraph"/>
      </w:pPr>
      <w:r>
        <w:t xml:space="preserve">Based on current momentum, we project Istanbul to generate $1.1M in annual revenue by 2025—a 48% increase from 2023—driven by three pillars:</w:t>
      </w:r>
    </w:p>
    <w:p>
      <w:pPr>
        <w:numPr>
          <w:ilvl w:val="0"/>
          <w:numId w:val="1003"/>
        </w:numPr>
        <w:pStyle w:val="Compact"/>
      </w:pPr>
      <w:r>
        <w:rPr>
          <w:bCs/>
          <w:b/>
        </w:rPr>
        <w:t xml:space="preserve">Corporate Expansion:</w:t>
      </w:r>
      <w:r>
        <w:t xml:space="preserve"> </w:t>
      </w:r>
      <w:r>
        <w:t xml:space="preserve">Targeting the Istanbul-based subsidiary networks of Fortune 500 companies (e.g., Siemens Turkey, Unilever), with a goal of adding 35 new enterprise accounts by year-end.</w:t>
      </w:r>
    </w:p>
    <w:p>
      <w:pPr>
        <w:numPr>
          <w:ilvl w:val="0"/>
          <w:numId w:val="1003"/>
        </w:numPr>
        <w:pStyle w:val="Compact"/>
      </w:pPr>
      <w:r>
        <w:rPr>
          <w:bCs/>
          <w:b/>
        </w:rPr>
        <w:t xml:space="preserve">Digital Premiumization:</w:t>
      </w:r>
      <w:r>
        <w:t xml:space="preserve"> </w:t>
      </w:r>
      <w:r>
        <w:t xml:space="preserve">Launching "Economist Turkey Insider" subscription tier (exclusive data on Turkish stock market trends) in September 2024, priced at $99 annually to capture high-value users.</w:t>
      </w:r>
    </w:p>
    <w:p>
      <w:pPr>
        <w:numPr>
          <w:ilvl w:val="0"/>
          <w:numId w:val="1003"/>
        </w:numPr>
        <w:pStyle w:val="Compact"/>
      </w:pPr>
      <w:r>
        <w:rPr>
          <w:bCs/>
          <w:b/>
        </w:rPr>
        <w:t xml:space="preserve">Community Building:</w:t>
      </w:r>
      <w:r>
        <w:t xml:space="preserve"> </w:t>
      </w:r>
      <w:r>
        <w:t xml:space="preserve">Establishing The Economist Istanbul Chapter—a private network for top 500 subscribers—to foster peer-to-peer insights and drive retention through exclusive events.</w:t>
      </w:r>
    </w:p>
    <w:bookmarkEnd w:id="25"/>
    <w:bookmarkStart w:id="26" w:name="conclusion"/>
    <w:p>
      <w:pPr>
        <w:pStyle w:val="Heading2"/>
      </w:pPr>
      <w:r>
        <w:t xml:space="preserve">Conclusion</w:t>
      </w:r>
    </w:p>
    <w:p>
      <w:pPr>
        <w:pStyle w:val="FirstParagraph"/>
      </w:pPr>
      <w:r>
        <w:t xml:space="preserve">As evidenced in this Sales Report, The Economist's performance in Turkey Istanbul is not merely a national market indicator but a strategic bellwether for our global growth in emerging economies. Istanbul's unique convergence of economic significance, digital adoption rates (76% smartphone penetration among professionals), and demand for international analysis has positioned it as the crown jewel of our Turkish operations. With localization efforts now yielding 93% subscriber satisfaction scores from Istanbul clients and a clear roadmap to dominate the premium business intelligence segment, we are confident that this market will exceed $1.2M in annual revenue within 18 months.</w:t>
      </w:r>
    </w:p>
    <w:p>
      <w:pPr>
        <w:pStyle w:val="BodyText"/>
      </w:pPr>
      <w:r>
        <w:t xml:space="preserve">Our next priority is scaling the Istanbul playbook to other Turkish cities (Ankara, Izmir) while maintaining our core editorial differentiation. The Economist's value proposition—providing actionable global context for Turkey's economic challenges—is resonating powerfully in its most critical market. As one Istanbul corporate client recently noted: "The Economist doesn't just report on Turkey—it helps us navigate it."</w:t>
      </w:r>
    </w:p>
    <w:p>
      <w:pPr>
        <w:pStyle w:val="BodyText"/>
      </w:pPr>
      <w:r>
        <w:t xml:space="preserve">Prepared by The Economist Global Sales Analytics Team</w:t>
      </w:r>
      <w:r>
        <w:br/>
      </w:r>
      <w:r>
        <w:t xml:space="preserve">Date: July 15, 2024</w:t>
      </w:r>
      <w:r>
        <w:br/>
      </w:r>
      <w:r>
        <w:t xml:space="preserve">For Distribution to Executive Leadership | Turkey Istanbul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Turkey Istanbul Market</dc:title>
  <dc:creator/>
  <dc:language>en</dc:language>
  <cp:keywords/>
  <dcterms:created xsi:type="dcterms:W3CDTF">2026-07-23T21:23:55Z</dcterms:created>
  <dcterms:modified xsi:type="dcterms:W3CDTF">2026-07-23T21:23:55Z</dcterms:modified>
</cp:coreProperties>
</file>

<file path=docProps/custom.xml><?xml version="1.0" encoding="utf-8"?>
<Properties xmlns="http://schemas.openxmlformats.org/officeDocument/2006/custom-properties" xmlns:vt="http://schemas.openxmlformats.org/officeDocument/2006/docPropsVTypes"/>
</file>