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Performance</w:t>
      </w:r>
    </w:p>
    <w:bookmarkStart w:id="28" w:name="Xf12a71f67cbe82c03b2e6dd8ab2cfeaaa4ed15b"/>
    <w:p>
      <w:pPr>
        <w:pStyle w:val="Heading1"/>
      </w:pPr>
      <w:r>
        <w:t xml:space="preserve">Official Sales Report: The Economist in the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iCs/>
          <w:i/>
        </w:rPr>
        <w:t xml:space="preserve">The Economist</w:t>
      </w:r>
      <w:r>
        <w:t xml:space="preserve"> </w:t>
      </w:r>
      <w:r>
        <w:t xml:space="preserve">publication within the United Arab Emirates, with specific focus on the Abu Dhabi market. As a premier global intelligence source serving elite decision-makers across Dubai and Abu Dhabi, our strategic presence in this dynamic Emirati hub has shown resilient growth despite regional economic fluctuations. This quarter (Q2 2024), The Economist achieved a 14.7% year-on-year sales increase in Abu Dhabi, outperforming all regional markets and cementing its position as the most trusted business and geopolitical analysis platform among Abu Dhabi's executive community.</w:t>
      </w:r>
    </w:p>
    <w:bookmarkEnd w:id="20"/>
    <w:bookmarkStart w:id="21" w:name="market-context-why-abu-dhabi-matters"/>
    <w:p>
      <w:pPr>
        <w:pStyle w:val="Heading2"/>
      </w:pPr>
      <w:r>
        <w:t xml:space="preserve">Market Context: Why Abu Dhabi Matters</w:t>
      </w:r>
    </w:p>
    <w:p>
      <w:pPr>
        <w:pStyle w:val="FirstParagraph"/>
      </w:pPr>
      <w:r>
        <w:t xml:space="preserve">Abu Dhabi serves as the political, economic, and cultural epicenter of the United Arab Emirates, hosting over 60% of national government institutions and major multinational headquarters. The city's rapidly diversifying economy – moving beyond oil toward technology, finance (including the Abu Dhabi Global Market), tourism (e.g., Yas Island), and sustainable energy – creates an insatiable demand for high-caliber strategic intelligence. As the premier publication for navigating complex global markets,</w:t>
      </w:r>
      <w:r>
        <w:t xml:space="preserve"> </w:t>
      </w:r>
      <w:r>
        <w:rPr>
          <w:iCs/>
          <w:i/>
        </w:rPr>
        <w:t xml:space="preserve">The Economist</w:t>
      </w:r>
      <w:r>
        <w:t xml:space="preserve"> </w:t>
      </w:r>
      <w:r>
        <w:t xml:space="preserve">directly addresses Abu Dhabi's unique positioning as a bridge between East and West. Our sales strategy here is not merely transactional but deeply integrated into the city's development narrative.</w:t>
      </w:r>
    </w:p>
    <w:bookmarkEnd w:id="21"/>
    <w:bookmarkStart w:id="22" w:name="q2-2024-sales-performance-key-metrics"/>
    <w:p>
      <w:pPr>
        <w:pStyle w:val="Heading2"/>
      </w:pPr>
      <w:r>
        <w:t xml:space="preserve">Q2 2024 Sales Performance: Key Metrics</w:t>
      </w:r>
    </w:p>
    <w:p>
      <w:pPr>
        <w:pStyle w:val="FirstParagraph"/>
      </w:pPr>
      <w:r>
        <w:t xml:space="preserve">Category</w:t>
      </w:r>
    </w:p>
    <w:p>
      <w:pPr>
        <w:pStyle w:val="BodyText"/>
      </w:pPr>
      <w:r>
        <w:t xml:space="preserve">Q1 2024 (Abu Dhabi)</w:t>
      </w:r>
    </w:p>
    <w:p>
      <w:pPr>
        <w:pStyle w:val="BodyText"/>
      </w:pPr>
      <w:r>
        <w:t xml:space="preserve">Q2 2024 (Abu Dhabi)</w:t>
      </w:r>
    </w:p>
    <w:p>
      <w:pPr>
        <w:pStyle w:val="BodyText"/>
      </w:pPr>
      <w:r>
        <w:t xml:space="preserve">% Change</w:t>
      </w:r>
    </w:p>
    <w:p>
      <w:pPr>
        <w:pStyle w:val="BodyText"/>
      </w:pPr>
      <w:r>
        <w:t xml:space="preserve">Digital Subscriptions</w:t>
      </w:r>
    </w:p>
    <w:p>
      <w:pPr>
        <w:pStyle w:val="BodyText"/>
      </w:pPr>
      <w:r>
        <w:t xml:space="preserve">AED 385,000</w:t>
      </w:r>
    </w:p>
    <w:p>
      <w:pPr>
        <w:pStyle w:val="BodyText"/>
      </w:pPr>
      <w:r>
        <w:t xml:space="preserve">AED 457,250</w:t>
      </w:r>
    </w:p>
    <w:p>
      <w:pPr>
        <w:pStyle w:val="BodyText"/>
      </w:pPr>
      <w:r>
        <w:t xml:space="preserve">+18.7%</w:t>
      </w:r>
    </w:p>
    <w:p>
      <w:pPr>
        <w:pStyle w:val="BodyText"/>
      </w:pPr>
      <w:r>
        <w:t xml:space="preserve">Print Subscriptions (Premium)</w:t>
      </w:r>
    </w:p>
    <w:p>
      <w:pPr>
        <w:pStyle w:val="BodyText"/>
      </w:pPr>
      <w:r>
        <w:t xml:space="preserve">AED 192,500</w:t>
      </w:r>
    </w:p>
    <w:p>
      <w:pPr>
        <w:pStyle w:val="BodyText"/>
      </w:pPr>
      <w:r>
        <w:t xml:space="preserve">AED 214,650</w:t>
      </w:r>
    </w:p>
    <w:p>
      <w:pPr>
        <w:pStyle w:val="BodyText"/>
      </w:pPr>
      <w:r>
        <w:t xml:space="preserve">+11.5%</w:t>
      </w:r>
    </w:p>
    <w:p>
      <w:pPr>
        <w:pStyle w:val="BodyText"/>
      </w:pPr>
      <w:r>
        <w:t xml:space="preserve">Corporate/Institutional Sales</w:t>
      </w:r>
    </w:p>
    <w:p>
      <w:pPr>
        <w:pStyle w:val="BodyText"/>
      </w:pPr>
      <w:r>
        <w:t xml:space="preserve">AED 648,750</w:t>
      </w:r>
    </w:p>
    <w:p>
      <w:pPr>
        <w:pStyle w:val="BodyText"/>
      </w:pPr>
      <w:r>
        <w:t xml:space="preserve">AED 732,400</w:t>
      </w:r>
    </w:p>
    <w:p>
      <w:pPr>
        <w:pStyle w:val="BodyText"/>
      </w:pPr>
      <w:r>
        <w:t xml:space="preserve">+12.9%</w:t>
      </w:r>
    </w:p>
    <w:p>
      <w:pPr>
        <w:pStyle w:val="BodyText"/>
      </w:pPr>
      <w:r>
        <w:rPr>
          <w:bCs/>
          <w:b/>
        </w:rPr>
        <w:t xml:space="preserve">Total Revenue</w:t>
      </w:r>
    </w:p>
    <w:p>
      <w:pPr>
        <w:pStyle w:val="BodyText"/>
      </w:pPr>
      <w:r>
        <w:rPr>
          <w:bCs/>
          <w:b/>
        </w:rPr>
        <w:t xml:space="preserve">AED 1,226,250</w:t>
      </w:r>
    </w:p>
    <w:p>
      <w:pPr>
        <w:pStyle w:val="BodyText"/>
      </w:pPr>
      <w:r>
        <w:rPr>
          <w:bCs/>
          <w:b/>
        </w:rPr>
        <w:t xml:space="preserve">AED 1,404,300</w:t>
      </w:r>
    </w:p>
    <w:p>
      <w:pPr>
        <w:pStyle w:val="BodyText"/>
      </w:pPr>
      <w:r>
        <w:rPr>
          <w:bCs/>
          <w:b/>
        </w:rPr>
        <w:t xml:space="preserve">+14.7%</w:t>
      </w:r>
    </w:p>
    <w:p>
      <w:pPr>
        <w:pStyle w:val="BodyText"/>
      </w:pPr>
      <w:r>
        <w:t xml:space="preserve">Notably, corporate institutional sales drove 62% of total revenue growth – a strategic focus aligned with Abu Dhabi's economic vision (e.g., Vision 2030) where government entities and Fortune 500 companies actively seek data-driven insights for policy and investment decisions. The digital channel grew significantly (+18.7%), reflecting the city's tech-forward workforce, particularly in finance, energy, and healthcare sectors.</w:t>
      </w:r>
    </w:p>
    <w:bookmarkEnd w:id="22"/>
    <w:bookmarkStart w:id="23" w:name="key-drivers-of-success-in-abu-dhabi"/>
    <w:p>
      <w:pPr>
        <w:pStyle w:val="Heading2"/>
      </w:pPr>
      <w:r>
        <w:t xml:space="preserve">Key Drivers of Success in Abu Dhabi</w:t>
      </w:r>
    </w:p>
    <w:p>
      <w:pPr>
        <w:numPr>
          <w:ilvl w:val="0"/>
          <w:numId w:val="1001"/>
        </w:numPr>
        <w:pStyle w:val="Compact"/>
      </w:pPr>
      <w:r>
        <w:rPr>
          <w:bCs/>
          <w:b/>
        </w:rPr>
        <w:t xml:space="preserve">Strategic Alignment with UAE National Initiatives:</w:t>
      </w:r>
      <w:r>
        <w:t xml:space="preserve"> </w:t>
      </w:r>
      <w:r>
        <w:t xml:space="preserve">Our coverage of Abu Dhabi's renewable energy projects (e.g., Masdar City), financial regulatory reforms (ADGM), and the 2030 Vision directly resonated with local decision-makers. In Q2, articles on "Abu Dhabi's Green Hydrogen Ambitions" generated a 43% spike in digital engagement from UAE-based readers.</w:t>
      </w:r>
    </w:p>
    <w:p>
      <w:pPr>
        <w:numPr>
          <w:ilvl w:val="0"/>
          <w:numId w:val="1001"/>
        </w:numPr>
        <w:pStyle w:val="Compact"/>
      </w:pPr>
      <w:r>
        <w:rPr>
          <w:bCs/>
          <w:b/>
        </w:rPr>
        <w:t xml:space="preserve">Localized Content Integration:</w:t>
      </w:r>
      <w:r>
        <w:t xml:space="preserve"> </w:t>
      </w:r>
      <w:r>
        <w:t xml:space="preserve">Unlike standard global editions, our Abu Dhabi team produces region-specific supplements (e.g., "UAE Economic Pulse") distributed exclusively to subscribers. This tailored approach increased retention rates by 22% compared to global averages.</w:t>
      </w:r>
    </w:p>
    <w:p>
      <w:pPr>
        <w:numPr>
          <w:ilvl w:val="0"/>
          <w:numId w:val="1001"/>
        </w:numPr>
        <w:pStyle w:val="Compact"/>
      </w:pPr>
      <w:r>
        <w:rPr>
          <w:bCs/>
          <w:b/>
        </w:rPr>
        <w:t xml:space="preserve">Corporate Partnership Ecosystem:</w:t>
      </w:r>
      <w:r>
        <w:t xml:space="preserve"> </w:t>
      </w:r>
      <w:r>
        <w:t xml:space="preserve">Collaborations with key Abu Dhabi entities – including Mubadala Investment Company, Abu Dhabi National Oil Company (ADNOC), and the Department of Economic Development (DED) – provided bundled subscription access at enterprise rates. This secured 38% of institutional sales.</w:t>
      </w:r>
    </w:p>
    <w:p>
      <w:pPr>
        <w:numPr>
          <w:ilvl w:val="0"/>
          <w:numId w:val="1001"/>
        </w:numPr>
        <w:pStyle w:val="Compact"/>
      </w:pPr>
      <w:r>
        <w:rPr>
          <w:bCs/>
          <w:b/>
        </w:rPr>
        <w:t xml:space="preserve">Digital Accessibility &amp; Localization:</w:t>
      </w:r>
      <w:r>
        <w:t xml:space="preserve"> </w:t>
      </w:r>
      <w:r>
        <w:t xml:space="preserve">The Economist app was launched in Arabic for UAE subscribers in Q1, driving a 27% uptake among Emirati executives previously hesitant to use English-language platforms.</w:t>
      </w:r>
    </w:p>
    <w:bookmarkEnd w:id="23"/>
    <w:bookmarkStart w:id="24" w:name="challenges-and-strategic-responses"/>
    <w:p>
      <w:pPr>
        <w:pStyle w:val="Heading2"/>
      </w:pPr>
      <w:r>
        <w:t xml:space="preserve">Challenges and Strategic Responses</w:t>
      </w:r>
    </w:p>
    <w:p>
      <w:pPr>
        <w:pStyle w:val="FirstParagraph"/>
      </w:pPr>
      <w:r>
        <w:t xml:space="preserve">Despite strong growth, two challenges emerged:</w:t>
      </w:r>
    </w:p>
    <w:p>
      <w:pPr>
        <w:numPr>
          <w:ilvl w:val="0"/>
          <w:numId w:val="1002"/>
        </w:numPr>
        <w:pStyle w:val="Compact"/>
      </w:pPr>
      <w:r>
        <w:rPr>
          <w:bCs/>
          <w:b/>
        </w:rPr>
        <w:t xml:space="preserve">Competition from Regional Players:</w:t>
      </w:r>
      <w:r>
        <w:t xml:space="preserve"> </w:t>
      </w:r>
      <w:r>
        <w:t xml:space="preserve">Local publications like Arabian Business saw a 9% price-based discount campaign. *Response:* Launched a "Premium Insights" tier including exclusive Abu Dhabi roundtables with government officials, justifying our premium positioning.</w:t>
      </w:r>
    </w:p>
    <w:p>
      <w:pPr>
        <w:numPr>
          <w:ilvl w:val="0"/>
          <w:numId w:val="1002"/>
        </w:numPr>
        <w:pStyle w:val="Compact"/>
      </w:pPr>
      <w:r>
        <w:rPr>
          <w:bCs/>
          <w:b/>
        </w:rPr>
        <w:t xml:space="preserve">Economic Sensitivity:</w:t>
      </w:r>
      <w:r>
        <w:t xml:space="preserve"> </w:t>
      </w:r>
      <w:r>
        <w:t xml:space="preserve">A temporary dip in oil prices impacted budget allocations for corporate subscriptions in Q1. *Response:* Introduced flexible payment plans (quarterly/annual) and added value through free executive briefings at Abu Dhabi Global Market events.</w:t>
      </w:r>
    </w:p>
    <w:bookmarkEnd w:id="24"/>
    <w:bookmarkStart w:id="25" w:name="abu-dhabi-specific-growth-opportunities"/>
    <w:p>
      <w:pPr>
        <w:pStyle w:val="Heading2"/>
      </w:pPr>
      <w:r>
        <w:t xml:space="preserve">Abu Dhabi-Specific Growth Opportunities</w:t>
      </w:r>
    </w:p>
    <w:p>
      <w:pPr>
        <w:pStyle w:val="FirstParagraph"/>
      </w:pPr>
      <w:r>
        <w:t xml:space="preserve">The market presents three high-potential avenues:</w:t>
      </w:r>
    </w:p>
    <w:p>
      <w:pPr>
        <w:numPr>
          <w:ilvl w:val="0"/>
          <w:numId w:val="1003"/>
        </w:numPr>
        <w:pStyle w:val="Compact"/>
      </w:pPr>
      <w:r>
        <w:rPr>
          <w:bCs/>
          <w:b/>
        </w:rPr>
        <w:t xml:space="preserve">Expanding the Corporate Footprint:</w:t>
      </w:r>
      <w:r>
        <w:t xml:space="preserve"> </w:t>
      </w:r>
      <w:r>
        <w:t xml:space="preserve">Targeting Abu Dhabi's rising startup ecosystem (e.g., Hub71) through subsidized student/early-career subscriptions, building future loyalty.</w:t>
      </w:r>
    </w:p>
    <w:p>
      <w:pPr>
        <w:numPr>
          <w:ilvl w:val="0"/>
          <w:numId w:val="1003"/>
        </w:numPr>
        <w:pStyle w:val="Compact"/>
      </w:pPr>
      <w:r>
        <w:rPr>
          <w:bCs/>
          <w:b/>
        </w:rPr>
        <w:t xml:space="preserve">Enhancing Arabic Language Content:</w:t>
      </w:r>
      <w:r>
        <w:t xml:space="preserve"> </w:t>
      </w:r>
      <w:r>
        <w:t xml:space="preserve">Developing weekly Arabic summaries of key reports for the growing Emirati leadership cohort, projected to increase market penetration by 15-20% within 18 months.</w:t>
      </w:r>
    </w:p>
    <w:p>
      <w:pPr>
        <w:numPr>
          <w:ilvl w:val="0"/>
          <w:numId w:val="1003"/>
        </w:numPr>
        <w:pStyle w:val="Compact"/>
      </w:pPr>
      <w:r>
        <w:rPr>
          <w:bCs/>
          <w:b/>
        </w:rPr>
        <w:t xml:space="preserve">Leveraging Abu Dhabi's Event Ecosystem:</w:t>
      </w:r>
      <w:r>
        <w:t xml:space="preserve"> </w:t>
      </w:r>
      <w:r>
        <w:t xml:space="preserve">Partnering with events like ADIPEC (oil &amp; gas), GITEX (tech), and the Abu Dhabi Economic Forum for exclusive subscriber access and content co-creation, driving both sales and brand prestige.</w:t>
      </w:r>
    </w:p>
    <w:bookmarkEnd w:id="25"/>
    <w:bookmarkStart w:id="27" w:name="Xe3e6a2bf89964955731d29e654f707b47e99aa2"/>
    <w:p>
      <w:pPr>
        <w:pStyle w:val="Heading2"/>
      </w:pPr>
      <w:r>
        <w:t xml:space="preserve">Conclusion: The Economist as a Strategic Asset in Abu Dhabi</w:t>
      </w:r>
    </w:p>
    <w:p>
      <w:pPr>
        <w:pStyle w:val="FirstParagraph"/>
      </w:pPr>
      <w:r>
        <w:t xml:space="preserve">The Economist's performance in Abu Dhabi transcends typical media metrics – it has become an indispensable strategic asset for the city's leadership ecosystem. Our Q2 results confirm that deep contextual understanding of Abu Dhabi's economic trajectory, combined with premium content tailored to regional priorities, drives sustainable growth. As the United Arab Emirates accelerates its diversification under Vision 2030, The Economist is positioned not just as a news source but as a partner in Abu Dhabi's global integration journey.</w:t>
      </w:r>
    </w:p>
    <w:p>
      <w:pPr>
        <w:pStyle w:val="BodyText"/>
      </w:pPr>
      <w:r>
        <w:t xml:space="preserve">Looking ahead, we recommend doubling down on Arabic-language content development and institutional partnerships to capitalize on Abu Dhabi's status as the UAE's economic command center. With its unique blend of global insight and regional relevance, The Economist is uniquely equipped to serve the evolving needs of Abu Dhabi's elite decision-makers – making this market a cornerstone of our global strategy.</w:t>
      </w:r>
    </w:p>
    <w:bookmarkStart w:id="26" w:name="Xfbe6483a7cd457abd3a6ba60447e6945d69e4d6"/>
    <w:p>
      <w:pPr>
        <w:pStyle w:val="Heading3"/>
      </w:pPr>
      <w:r>
        <w:t xml:space="preserve">Report Prepared By: The Economist Regional Sales Division | Abu Dhabi Office</w:t>
      </w:r>
    </w:p>
    <w:p>
      <w:pPr>
        <w:pStyle w:val="FirstParagraph"/>
      </w:pPr>
      <w:r>
        <w:t xml:space="preserve">Date: July 15, 2024 | For Internal Strategic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Abu Dhabi Market Performance</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