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The</w:t>
      </w:r>
      <w:r>
        <w:t xml:space="preserve"> </w:t>
      </w:r>
      <w:r>
        <w:t xml:space="preserve">Economist</w:t>
      </w:r>
      <w:r>
        <w:t xml:space="preserve"> </w:t>
      </w:r>
      <w:r>
        <w:t xml:space="preserve">in</w:t>
      </w:r>
      <w:r>
        <w:t xml:space="preserve"> </w:t>
      </w:r>
      <w:r>
        <w:t xml:space="preserve">United</w:t>
      </w:r>
      <w:r>
        <w:t xml:space="preserve"> </w:t>
      </w:r>
      <w:r>
        <w:t xml:space="preserve">Kingdom</w:t>
      </w:r>
      <w:r>
        <w:t xml:space="preserve"> </w:t>
      </w:r>
      <w:r>
        <w:t xml:space="preserve">Birmingham</w:t>
      </w:r>
      <w:r>
        <w:t xml:space="preserve"> </w:t>
      </w:r>
      <w:r>
        <w:t xml:space="preserve">Market</w:t>
      </w:r>
    </w:p>
    <w:bookmarkStart w:id="27" w:name="X24e22fd7080b7ee3b251d111ea4aa4b3c18f6bd"/>
    <w:p>
      <w:pPr>
        <w:pStyle w:val="Heading1"/>
      </w:pPr>
      <w:r>
        <w:t xml:space="preserve">Sales Report: The Economist Subscription Performance in United Kingdom Birmingham Market (Q2 2024)</w:t>
      </w:r>
    </w:p>
    <w:p>
      <w:pPr>
        <w:pStyle w:val="FirstParagraph"/>
      </w:pPr>
      <w:r>
        <w:rPr>
          <w:bCs/>
          <w:b/>
        </w:rPr>
        <w:t xml:space="preserve">Date:</w:t>
      </w:r>
      <w:r>
        <w:t xml:space="preserve"> </w:t>
      </w:r>
      <w:r>
        <w:t xml:space="preserve">July 15, 2024</w:t>
      </w:r>
      <w:r>
        <w:br/>
      </w:r>
      <w:r>
        <w:rPr>
          <w:bCs/>
          <w:b/>
        </w:rPr>
        <w:t xml:space="preserve">Prepared For:</w:t>
      </w:r>
      <w:r>
        <w:t xml:space="preserve"> </w:t>
      </w:r>
      <w:r>
        <w:t xml:space="preserve">Editorial &amp; Sales Leadership, The Economist Group</w:t>
      </w:r>
      <w:r>
        <w:br/>
      </w:r>
      <w:r>
        <w:rPr>
          <w:bCs/>
          <w:b/>
        </w:rPr>
        <w:t xml:space="preserve">Region Covered:</w:t>
      </w:r>
      <w:r>
        <w:t xml:space="preserve"> </w:t>
      </w:r>
      <w:r>
        <w:t xml:space="preserve">United Kingdom Birmingham Metropolitan Area</w:t>
      </w:r>
    </w:p>
    <w:bookmarkStart w:id="20" w:name="executive-summary"/>
    <w:p>
      <w:pPr>
        <w:pStyle w:val="Heading2"/>
      </w:pPr>
      <w:r>
        <w:t xml:space="preserve">Executive Summary</w:t>
      </w:r>
    </w:p>
    <w:p>
      <w:pPr>
        <w:pStyle w:val="FirstParagraph"/>
      </w:pPr>
      <w:r>
        <w:t xml:space="preserve">This Sales Report details the performance of The Economist subscription model within the United Kingdom Birmingham market for Q2 2024. Birmingham remains a critical growth corridor for The Economist across the UK, demonstrating resilient demand among key professional demographics in this dynamic Midlands hub. Despite broader economic headwinds, our subscription base in Birmingham grew by 15.3% year-on-year and 4.7% quarter-on-quarter, significantly outperforming the UK national average of 8.2% YoY growth. This success underscores The Economist's unique positioning as a trusted business intelligence source for Birmingham's evolving corporate landscape, particularly within manufacturing, financial services, and higher education sectors.</w:t>
      </w:r>
    </w:p>
    <w:bookmarkEnd w:id="20"/>
    <w:bookmarkStart w:id="21" w:name="X754d62cc1600602179931887526dcc28fa66432"/>
    <w:p>
      <w:pPr>
        <w:pStyle w:val="Heading2"/>
      </w:pPr>
      <w:r>
        <w:t xml:space="preserve">Market Analysis: United Kingdom Birmingham Context</w:t>
      </w:r>
    </w:p>
    <w:p>
      <w:pPr>
        <w:pStyle w:val="FirstParagraph"/>
      </w:pPr>
      <w:r>
        <w:t xml:space="preserve">Birmingham serves as the economic engine of the United Kingdom outside London, representing a diverse and rapidly transforming market. As the UK's second-largest city region with a population exceeding 1.1 million, it hosts significant concentrations of:</w:t>
      </w:r>
    </w:p>
    <w:p>
      <w:pPr>
        <w:numPr>
          <w:ilvl w:val="0"/>
          <w:numId w:val="1001"/>
        </w:numPr>
        <w:pStyle w:val="Compact"/>
      </w:pPr>
      <w:r>
        <w:t xml:space="preserve">Head offices for major Midlands manufacturing and engineering firms (e.g., Jaguar Land Rover, Rolls-Royce Aerospace)</w:t>
      </w:r>
    </w:p>
    <w:p>
      <w:pPr>
        <w:numPr>
          <w:ilvl w:val="0"/>
          <w:numId w:val="1001"/>
        </w:numPr>
        <w:pStyle w:val="Compact"/>
      </w:pPr>
      <w:r>
        <w:t xml:space="preserve">Financial services centres including Birmingham’s role as a key hub for the UK’s insurance sector</w:t>
      </w:r>
    </w:p>
    <w:p>
      <w:pPr>
        <w:numPr>
          <w:ilvl w:val="0"/>
          <w:numId w:val="1001"/>
        </w:numPr>
        <w:pStyle w:val="Compact"/>
      </w:pPr>
      <w:r>
        <w:t xml:space="preserve">Campus facilities of global universities (University of Birmingham, Aston University) attracting international academic professionals</w:t>
      </w:r>
    </w:p>
    <w:p>
      <w:pPr>
        <w:numPr>
          <w:ilvl w:val="0"/>
          <w:numId w:val="1001"/>
        </w:numPr>
        <w:pStyle w:val="Compact"/>
      </w:pPr>
      <w:r>
        <w:t xml:space="preserve">Government initiatives like the Midlands Engine partnership and the City Deal driving regional investment</w:t>
      </w:r>
    </w:p>
    <w:p>
      <w:pPr>
        <w:pStyle w:val="FirstParagraph"/>
      </w:pPr>
      <w:r>
        <w:t xml:space="preserve">The Economist's premium content—particularly analysis on UK industrial policy, supply chain resilience, and European trade relations—is exceptionally relevant to Birmingham’s business community. Unlike London-centric publications, The Economist provides a nuanced perspective on how national policies impact regional economies like Birmingham’s, making it indispensable for local decision-makers.</w:t>
      </w:r>
    </w:p>
    <w:bookmarkEnd w:id="21"/>
    <w:bookmarkStart w:id="23" w:name="Xd681378126ae33630fed48ed451997a5089b346"/>
    <w:p>
      <w:pPr>
        <w:pStyle w:val="Heading2"/>
      </w:pPr>
      <w:r>
        <w:t xml:space="preserve">Key Sales Performance Metrics (Birmingham Q2 2024)</w:t>
      </w:r>
    </w:p>
    <w:p>
      <w:pPr>
        <w:pStyle w:val="FirstParagraph"/>
      </w:pPr>
      <w:r>
        <w:t xml:space="preserve">Performance Indicator</w:t>
      </w:r>
    </w:p>
    <w:p>
      <w:pPr>
        <w:pStyle w:val="BodyText"/>
      </w:pPr>
      <w:r>
        <w:t xml:space="preserve">Q2 2024</w:t>
      </w:r>
    </w:p>
    <w:p>
      <w:pPr>
        <w:pStyle w:val="BodyText"/>
      </w:pPr>
      <w:r>
        <w:t xml:space="preserve">Q1 2024</w:t>
      </w:r>
    </w:p>
    <w:p>
      <w:pPr>
        <w:pStyle w:val="BodyText"/>
      </w:pPr>
      <w:r>
        <w:t xml:space="preserve">YoY Growth (Q2)</w:t>
      </w:r>
    </w:p>
    <w:p>
      <w:pPr>
        <w:pStyle w:val="BodyText"/>
      </w:pPr>
      <w:r>
        <w:t xml:space="preserve">New Subscriptions Acquired</w:t>
      </w:r>
    </w:p>
    <w:p>
      <w:pPr>
        <w:pStyle w:val="BodyText"/>
      </w:pPr>
      <w:r>
        <w:t xml:space="preserve">387</w:t>
      </w:r>
    </w:p>
    <w:p>
      <w:pPr>
        <w:pStyle w:val="BodyText"/>
      </w:pPr>
      <w:r>
        <w:t xml:space="preserve">356</w:t>
      </w:r>
    </w:p>
    <w:p>
      <w:pPr>
        <w:pStyle w:val="BodyText"/>
      </w:pPr>
      <w:r>
        <w:t xml:space="preserve">+15.3%</w:t>
      </w:r>
    </w:p>
    <w:p>
      <w:pPr>
        <w:pStyle w:val="BodyText"/>
      </w:pPr>
      <w:r>
        <w:t xml:space="preserve">Renewal Rate (Paid Subscribers)</w:t>
      </w:r>
    </w:p>
    <w:p>
      <w:pPr>
        <w:pStyle w:val="BodyText"/>
      </w:pPr>
      <w:r>
        <w:t xml:space="preserve">82.4%</w:t>
      </w:r>
    </w:p>
    <w:p>
      <w:pPr>
        <w:pStyle w:val="BodyText"/>
      </w:pPr>
      <w:r>
        <w:t xml:space="preserve">79.8%</w:t>
      </w:r>
    </w:p>
    <w:p>
      <w:pPr>
        <w:pStyle w:val="BodyText"/>
      </w:pPr>
      <w:r>
        <w:t xml:space="preserve">+2.6 pts</w:t>
      </w:r>
    </w:p>
    <w:p>
      <w:pPr>
        <w:pStyle w:val="BodyText"/>
      </w:pPr>
      <w:r>
        <w:t xml:space="preserve">Digital Subscription Share</w:t>
      </w:r>
    </w:p>
    <w:p>
      <w:pPr>
        <w:pStyle w:val="BodyText"/>
      </w:pPr>
      <w:r>
        <w:t xml:space="preserve">76%</w:t>
      </w:r>
    </w:p>
    <w:p>
      <w:pPr>
        <w:pStyle w:val="BodyText"/>
      </w:pPr>
      <w:r>
        <w:t xml:space="preserve">73%</w:t>
      </w:r>
    </w:p>
    <w:p>
      <w:pPr>
        <w:pStyle w:val="BodyText"/>
      </w:pPr>
      <w:r>
        <w:br/>
      </w:r>
    </w:p>
    <w:p>
      <w:pPr>
        <w:pStyle w:val="BodyText"/>
      </w:pPr>
      <w:r>
        <w:t xml:space="preserve">+3 pts</w:t>
      </w:r>
    </w:p>
    <w:p>
      <w:pPr>
        <w:pStyle w:val="BodyText"/>
      </w:pPr>
      <w:r>
        <w:br/>
      </w:r>
    </w:p>
    <w:p>
      <w:pPr>
        <w:pStyle w:val="BodyText"/>
      </w:pPr>
      <w:r>
        <w:t xml:space="preserve">Average Revenue Per User (ARPU)</w:t>
      </w:r>
    </w:p>
    <w:p>
      <w:pPr>
        <w:pStyle w:val="BodyText"/>
      </w:pPr>
      <w:r>
        <w:t xml:space="preserve">£1,280</w:t>
      </w:r>
    </w:p>
    <w:p>
      <w:pPr>
        <w:pStyle w:val="BodyText"/>
      </w:pPr>
      <w:r>
        <w:t xml:space="preserve">£1,245</w:t>
      </w:r>
    </w:p>
    <w:p>
      <w:pPr>
        <w:pStyle w:val="BodyText"/>
      </w:pPr>
      <w:r>
        <w:t xml:space="preserve">+2.8%</w:t>
      </w:r>
    </w:p>
    <w:bookmarkStart w:id="22" w:name="notable-growth-drivers-in-birmingham"/>
    <w:p>
      <w:pPr>
        <w:pStyle w:val="Heading3"/>
      </w:pPr>
      <w:r>
        <w:t xml:space="preserve">Notable Growth Drivers in Birmingham</w:t>
      </w:r>
    </w:p>
    <w:p>
      <w:pPr>
        <w:numPr>
          <w:ilvl w:val="0"/>
          <w:numId w:val="1002"/>
        </w:numPr>
        <w:pStyle w:val="Compact"/>
      </w:pPr>
      <w:r>
        <w:rPr>
          <w:bCs/>
          <w:b/>
        </w:rPr>
        <w:t xml:space="preserve">University Partnerships:</w:t>
      </w:r>
      <w:r>
        <w:t xml:space="preserve"> </w:t>
      </w:r>
      <w:r>
        <w:t xml:space="preserve">Collaborations with University of Birmingham’s Business School and Aston University’s Finance department drove a 28% increase in academic subscriptions, particularly among MBA cohorts focused on global trade policy.</w:t>
      </w:r>
    </w:p>
    <w:p>
      <w:pPr>
        <w:numPr>
          <w:ilvl w:val="0"/>
          <w:numId w:val="1002"/>
        </w:numPr>
        <w:pStyle w:val="Compact"/>
      </w:pPr>
      <w:r>
        <w:rPr>
          <w:bCs/>
          <w:b/>
        </w:rPr>
        <w:t xml:space="preserve">Corporate Bulk Sales:</w:t>
      </w:r>
      <w:r>
        <w:t xml:space="preserve"> </w:t>
      </w:r>
      <w:r>
        <w:t xml:space="preserve">Secured 12 new enterprise contracts with Birmingham-based firms (including Midlands Chamber of Commerce members), representing a 37% YoY rise in B2B sales. Key accounts include automotive suppliers and logistics firms requiring geopolitical risk analysis.</w:t>
      </w:r>
    </w:p>
    <w:bookmarkEnd w:id="22"/>
    <w:bookmarkEnd w:id="23"/>
    <w:bookmarkStart w:id="24" w:name="challenges-competitive-landscape"/>
    <w:p>
      <w:pPr>
        <w:pStyle w:val="Heading2"/>
      </w:pPr>
      <w:r>
        <w:t xml:space="preserve">Challenges &amp; Competitive Landscape</w:t>
      </w:r>
    </w:p>
    <w:p>
      <w:pPr>
        <w:pStyle w:val="FirstParagraph"/>
      </w:pPr>
      <w:r>
        <w:t xml:space="preserve">Birmingham’s market presents unique challenges. While demand for high-quality analysis is strong, competition from local business publications (e.g., Midlands Business News) and digital-only news aggregators remains intense. Key hurdles identified include:</w:t>
      </w:r>
    </w:p>
    <w:p>
      <w:pPr>
        <w:numPr>
          <w:ilvl w:val="0"/>
          <w:numId w:val="1003"/>
        </w:numPr>
        <w:pStyle w:val="Compact"/>
      </w:pPr>
      <w:r>
        <w:rPr>
          <w:bCs/>
          <w:b/>
        </w:rPr>
        <w:t xml:space="preserve">Price Sensitivity:</w:t>
      </w:r>
      <w:r>
        <w:t xml:space="preserve"> </w:t>
      </w:r>
      <w:r>
        <w:t xml:space="preserve">SMEs in the region show greater price sensitivity than London counterparts. Our premium pricing model requires clear demonstration of ROI through content relevance.</w:t>
      </w:r>
    </w:p>
    <w:p>
      <w:pPr>
        <w:numPr>
          <w:ilvl w:val="0"/>
          <w:numId w:val="1003"/>
        </w:numPr>
        <w:pStyle w:val="Compact"/>
      </w:pPr>
      <w:r>
        <w:rPr>
          <w:bCs/>
          <w:b/>
        </w:rPr>
        <w:t xml:space="preserve">Digital Adoption:</w:t>
      </w:r>
      <w:r>
        <w:t xml:space="preserve"> </w:t>
      </w:r>
      <w:r>
        <w:t xml:space="preserve">Lower engagement rates among senior executives over 55 compared to national averages, requiring tailored onboarding strategies for this demographic.</w:t>
      </w:r>
    </w:p>
    <w:p>
      <w:pPr>
        <w:numPr>
          <w:ilvl w:val="0"/>
          <w:numId w:val="1003"/>
        </w:numPr>
        <w:pStyle w:val="Compact"/>
      </w:pPr>
      <w:r>
        <w:rPr>
          <w:bCs/>
          <w:b/>
        </w:rPr>
        <w:t xml:space="preserve">Content Relevance Gap:</w:t>
      </w:r>
      <w:r>
        <w:t xml:space="preserve"> </w:t>
      </w:r>
      <w:r>
        <w:t xml:space="preserve">Some local business leaders requested more hyper-localized analysis of Birmingham-specific policies (e.g., HS2 implications, Midlands Enterprise Zone updates).</w:t>
      </w:r>
    </w:p>
    <w:bookmarkEnd w:id="24"/>
    <w:bookmarkStart w:id="25" w:name="Xd650810b6e39fc9acfbb1f77d0aa4ed43aedf2a"/>
    <w:p>
      <w:pPr>
        <w:pStyle w:val="Heading2"/>
      </w:pPr>
      <w:r>
        <w:t xml:space="preserve">Strategic Recommendations for United Kingdom Birmingham Market</w:t>
      </w:r>
    </w:p>
    <w:p>
      <w:pPr>
        <w:pStyle w:val="FirstParagraph"/>
      </w:pPr>
      <w:r>
        <w:t xml:space="preserve">To capitalize on Birmingham’s growth potential, we propose the following initiatives:</w:t>
      </w:r>
    </w:p>
    <w:p>
      <w:pPr>
        <w:numPr>
          <w:ilvl w:val="0"/>
          <w:numId w:val="1004"/>
        </w:numPr>
        <w:pStyle w:val="Compact"/>
      </w:pPr>
      <w:r>
        <w:rPr>
          <w:bCs/>
          <w:b/>
        </w:rPr>
        <w:t xml:space="preserve">Localized Content Series:</w:t>
      </w:r>
      <w:r>
        <w:t xml:space="preserve"> </w:t>
      </w:r>
      <w:r>
        <w:t xml:space="preserve">Launch "Birmingham Economic Outlook" weekly briefings within The Economist platform, analyzing regional policy impacts (e.g., City Deal investments). This will directly address content relevance gaps identified in client feedback.</w:t>
      </w:r>
    </w:p>
    <w:p>
      <w:pPr>
        <w:numPr>
          <w:ilvl w:val="0"/>
          <w:numId w:val="1004"/>
        </w:numPr>
        <w:pStyle w:val="Compact"/>
      </w:pPr>
      <w:r>
        <w:rPr>
          <w:bCs/>
          <w:b/>
        </w:rPr>
        <w:t xml:space="preserve">SME Pricing Tiers:</w:t>
      </w:r>
      <w:r>
        <w:t xml:space="preserve"> </w:t>
      </w:r>
      <w:r>
        <w:t xml:space="preserve">Develop a cost-optimized subscription package for Midlands SMEs with 15% lower entry price point while retaining core digital access, supported by quarterly ROI reports demonstrating value to business outcomes.</w:t>
      </w:r>
    </w:p>
    <w:p>
      <w:pPr>
        <w:numPr>
          <w:ilvl w:val="0"/>
          <w:numId w:val="1004"/>
        </w:numPr>
        <w:pStyle w:val="Compact"/>
      </w:pPr>
      <w:r>
        <w:rPr>
          <w:bCs/>
          <w:b/>
        </w:rPr>
        <w:t xml:space="preserve">Birmingham Business Network Events:</w:t>
      </w:r>
      <w:r>
        <w:t xml:space="preserve"> </w:t>
      </w:r>
      <w:r>
        <w:t xml:space="preserve">Host quarterly in-person roundtables at Birmingham Business Park, featuring The Economist’s analysts discussing regional economic trends. Targeting 50+ executives per event to drive engagement and conversions.</w:t>
      </w:r>
    </w:p>
    <w:p>
      <w:pPr>
        <w:numPr>
          <w:ilvl w:val="0"/>
          <w:numId w:val="1004"/>
        </w:numPr>
        <w:pStyle w:val="Compact"/>
      </w:pPr>
      <w:r>
        <w:rPr>
          <w:bCs/>
          <w:b/>
        </w:rPr>
        <w:t xml:space="preserve">University Ambassador Program:</w:t>
      </w:r>
      <w:r>
        <w:t xml:space="preserve"> </w:t>
      </w:r>
      <w:r>
        <w:t xml:space="preserve">Expand existing university partnerships by recruiting student ambassadors to promote The Economist among academic communities, targeting a 25% increase in student subscriptions by Q4 2024.</w:t>
      </w:r>
    </w:p>
    <w:bookmarkEnd w:id="25"/>
    <w:bookmarkStart w:id="26" w:name="X93662cc9a63f6993db562d3670fd6653cea22aa"/>
    <w:p>
      <w:pPr>
        <w:pStyle w:val="Heading2"/>
      </w:pPr>
      <w:r>
        <w:t xml:space="preserve">Conclusion: The Economist’s Strategic Position in Birmingham</w:t>
      </w:r>
    </w:p>
    <w:p>
      <w:pPr>
        <w:pStyle w:val="FirstParagraph"/>
      </w:pPr>
      <w:r>
        <w:t xml:space="preserve">The Sales Report confirms that The Economist maintains a distinctive position within the United Kingdom Birmingham market as a provider of actionable global economic intelligence tailored to regional business needs. Our 15.3% YoY growth in Birmingham—outpacing the national average—demonstrates strong alignment between our content and the strategic priorities of Midlands businesses navigating post-Brexit trade dynamics, industrial decarbonization, and regional investment shifts.</w:t>
      </w:r>
    </w:p>
    <w:p>
      <w:pPr>
        <w:pStyle w:val="BodyText"/>
      </w:pPr>
      <w:r>
        <w:t xml:space="preserve">As Birmingham continues to solidify its role as a UK economic powerhouse outside London, The Economist’s ability to deliver contextually relevant insights positions it not merely as a publication, but as an essential strategic partner for decision-makers across the Midlands. By implementing targeted initiatives that address local market nuances while leveraging our global editorial authority, we project Birmingham subscriptions will grow by 18-20% YoY in 2024 and establish the region as one of The Economist’s most valuable UK markets outside London.</w:t>
      </w:r>
    </w:p>
    <w:p>
      <w:pPr>
        <w:pStyle w:val="BodyText"/>
      </w:pPr>
      <w:r>
        <w:rPr>
          <w:iCs/>
          <w:i/>
        </w:rPr>
        <w:t xml:space="preserve">Prepared by: Regional Sales Strategy Team</w:t>
      </w:r>
      <w:r>
        <w:br/>
      </w:r>
      <w:r>
        <w:rPr>
          <w:iCs/>
          <w:i/>
        </w:rPr>
        <w:t xml:space="preserve">The Economist Group | United Kingdom Birmingham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The Economist in United Kingdom Birmingham Market</dc:title>
  <dc:creator/>
  <cp:keywords/>
  <dcterms:created xsi:type="dcterms:W3CDTF">2026-07-24T14:22:38Z</dcterms:created>
  <dcterms:modified xsi:type="dcterms:W3CDTF">2026-07-24T14:22:38Z</dcterms:modified>
</cp:coreProperties>
</file>

<file path=docProps/custom.xml><?xml version="1.0" encoding="utf-8"?>
<Properties xmlns="http://schemas.openxmlformats.org/officeDocument/2006/custom-properties" xmlns:vt="http://schemas.openxmlformats.org/officeDocument/2006/docPropsVTypes"/>
</file>