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6932ab5a79e3162394f854b06a834428c7f756b"/>
    <w:p>
      <w:pPr>
        <w:pStyle w:val="Heading1"/>
      </w:pPr>
      <w:r>
        <w:t xml:space="preserve">THE ECONOMIST SALES REPORT</w:t>
      </w:r>
      <w:r>
        <w:br/>
      </w:r>
      <w:r>
        <w:t xml:space="preserve">UNITED STATES MIAMI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Sales Leadership</w:t>
      </w:r>
      <w:r>
        <w:br/>
      </w:r>
      <w:r>
        <w:rPr>
          <w:bCs/>
          <w:b/>
        </w:rPr>
        <w:t xml:space="preserve">Report Period:</w:t>
      </w:r>
      <w:r>
        <w:t xml:space="preserve"> </w:t>
      </w:r>
      <w:r>
        <w:t xml:space="preserve">Q3 2023 (July - September)</w:t>
      </w:r>
      <w:r>
        <w:br/>
      </w:r>
      <w:r>
        <w:rPr>
          <w:bCs/>
          <w:b/>
        </w:rPr>
        <w:t xml:space="preserve">Target Market:</w:t>
      </w:r>
      <w:r>
        <w:t xml:space="preserve"> </w:t>
      </w:r>
      <w:r>
        <w:t xml:space="preserve">United States Miami Metropolitan Area</w:t>
      </w:r>
    </w:p>
    <w:bookmarkStart w:id="20" w:name="executive-summary"/>
    <w:p>
      <w:pPr>
        <w:pStyle w:val="Heading2"/>
      </w:pPr>
      <w:r>
        <w:t xml:space="preserve">Executive Summary</w:t>
      </w:r>
    </w:p>
    <w:p>
      <w:pPr>
        <w:pStyle w:val="FirstParagraph"/>
      </w:pPr>
      <w:r>
        <w:t xml:space="preserve">The Economist has achieved remarkable growth in the United States Miami market during Q3 2023, with subscription sales surging by 18.7% compared to the same quarter last year. This performance significantly outpaces both national U.S. averages (5.2%) and our internal targets (12%). The Miami market has emerged as a critical growth engine for The Economist's expansion in the Americas, driven by strategic partnerships, heightened interest in global economics among Miami's business community, and successful digital adaptation initiatives. This report details the factors behind this success and outlines actionable strategies for sustaining momentum in the United States Miami market.</w:t>
      </w:r>
    </w:p>
    <w:bookmarkEnd w:id="20"/>
    <w:bookmarkStart w:id="21" w:name="market-context-why-miami-matters"/>
    <w:p>
      <w:pPr>
        <w:pStyle w:val="Heading2"/>
      </w:pPr>
      <w:r>
        <w:t xml:space="preserve">Market Context: Why Miami Matters</w:t>
      </w:r>
    </w:p>
    <w:p>
      <w:pPr>
        <w:pStyle w:val="FirstParagraph"/>
      </w:pPr>
      <w:r>
        <w:t xml:space="preserve">Miami represents a unique economic ecosystem within the United States, serving as a global gateway to Latin America and the Caribbean. As of 2023, the Miami metropolitan area boasts over 6.1 million residents with $98 billion in annual business output, making it America's top hub for international trade (U.S. Census Bureau). The Economist's positioning as the preeminent source for global economic intelligence has resonated powerfully with Miami's influential demographics: 42% of Fortune 500 companies maintain regional headquarters here, and the city is home to over 15,000 multinational corporation employees.</w:t>
      </w:r>
    </w:p>
    <w:p>
      <w:pPr>
        <w:pStyle w:val="BodyText"/>
      </w:pPr>
      <w:r>
        <w:t xml:space="preserve">Crucially, Miami's growing expatriate community (including significant populations from Latin America and Europe) creates a natural audience for The Economist's global perspective. This demographic aligns perfectly with our core readership profile: affluent professionals aged 35-64 who prioritize geopolitical insights for business decision-making.</w:t>
      </w:r>
    </w:p>
    <w:bookmarkEnd w:id="21"/>
    <w:bookmarkStart w:id="22" w:name="q3-sales-performance-breakdown"/>
    <w:p>
      <w:pPr>
        <w:pStyle w:val="Heading2"/>
      </w:pPr>
      <w:r>
        <w:t xml:space="preserve">Q3 Sales Performance Breakdown</w:t>
      </w:r>
    </w:p>
    <w:p>
      <w:pPr>
        <w:pStyle w:val="FirstParagraph"/>
      </w:pPr>
      <w:r>
        <w:rPr>
          <w:bCs/>
          <w:b/>
        </w:rPr>
        <w:t xml:space="preserve">Subscription Growth:</w:t>
      </w:r>
      <w:r>
        <w:t xml:space="preserve"> </w:t>
      </w:r>
      <w:r>
        <w:t xml:space="preserve">Total paid subscriptions in Miami reached 18,450 (up from 15,540 in Q3 2022), representing a market penetration rate of 0.3% among eligible business professionals – exceeding the U.S. national average of 0.18%. Digital subscriptions grew most dramatically at +27.3%, while print subscriptions increased by 6.1% (reflecting Miami's tech-forward audience preference).</w:t>
      </w:r>
    </w:p>
    <w:p>
      <w:pPr>
        <w:pStyle w:val="BodyText"/>
      </w:pPr>
      <w:r>
        <w:rPr>
          <w:bCs/>
          <w:b/>
        </w:rPr>
        <w:t xml:space="preserve">Key Revenue Streams:</w:t>
      </w:r>
    </w:p>
    <w:p>
      <w:pPr>
        <w:numPr>
          <w:ilvl w:val="0"/>
          <w:numId w:val="1001"/>
        </w:numPr>
        <w:pStyle w:val="Compact"/>
      </w:pPr>
      <w:r>
        <w:t xml:space="preserve">Digital Subscriptions (Mobile &amp; Web): $1,820,500 (+31.2% YoY)</w:t>
      </w:r>
    </w:p>
    <w:p>
      <w:pPr>
        <w:numPr>
          <w:ilvl w:val="0"/>
          <w:numId w:val="1001"/>
        </w:numPr>
        <w:pStyle w:val="Compact"/>
      </w:pPr>
      <w:r>
        <w:t xml:space="preserve">Print + Digital Bundles: $945,750 (+14.6% YoY)</w:t>
      </w:r>
    </w:p>
    <w:p>
      <w:pPr>
        <w:pStyle w:val="FirstParagraph"/>
      </w:pPr>
      <w:r>
        <w:rPr>
          <w:bCs/>
          <w:b/>
        </w:rPr>
        <w:t xml:space="preserve">Demographic Insights:</w:t>
      </w:r>
      <w:r>
        <w:t xml:space="preserve"> </w:t>
      </w:r>
      <w:r>
        <w:t xml:space="preserve">The most engaged Miami audience segments include:</w:t>
      </w:r>
    </w:p>
    <w:p>
      <w:pPr>
        <w:numPr>
          <w:ilvl w:val="0"/>
          <w:numId w:val="1002"/>
        </w:numPr>
        <w:pStyle w:val="Compact"/>
      </w:pPr>
      <w:r>
        <w:t xml:space="preserve">Financial Services Executives (34% of new subscriptions)</w:t>
      </w:r>
    </w:p>
    <w:p>
      <w:pPr>
        <w:numPr>
          <w:ilvl w:val="0"/>
          <w:numId w:val="1002"/>
        </w:numPr>
        <w:pStyle w:val="Compact"/>
      </w:pPr>
      <w:r>
        <w:t xml:space="preserve">Real Estate Developers &amp; Investors (28%)</w:t>
      </w:r>
    </w:p>
    <w:p>
      <w:pPr>
        <w:numPr>
          <w:ilvl w:val="0"/>
          <w:numId w:val="1002"/>
        </w:numPr>
        <w:pStyle w:val="Compact"/>
      </w:pPr>
      <w:r>
        <w:t xml:space="preserve">International Trade Consultants (21%)</w:t>
      </w:r>
    </w:p>
    <w:p>
      <w:pPr>
        <w:numPr>
          <w:ilvl w:val="0"/>
          <w:numId w:val="1002"/>
        </w:numPr>
        <w:pStyle w:val="Compact"/>
      </w:pPr>
      <w:r>
        <w:t xml:space="preserve">Latin American Business Leaders (17%)</w:t>
      </w:r>
    </w:p>
    <w:bookmarkEnd w:id="22"/>
    <w:bookmarkStart w:id="26" w:name="X1b7c93e25b32c52420f77645b7d6e2a040af662"/>
    <w:p>
      <w:pPr>
        <w:pStyle w:val="Heading2"/>
      </w:pPr>
      <w:r>
        <w:t xml:space="preserve">Strategic Initiatives Driving Miami Success</w:t>
      </w:r>
    </w:p>
    <w:p>
      <w:pPr>
        <w:pStyle w:val="FirstParagraph"/>
      </w:pPr>
      <w:r>
        <w:t xml:space="preserve">The Economist's Miami growth stems from three targeted initiatives:</w:t>
      </w:r>
    </w:p>
    <w:bookmarkStart w:id="23" w:name="hyper-localized-digital-content-strategy"/>
    <w:p>
      <w:pPr>
        <w:pStyle w:val="Heading3"/>
      </w:pPr>
      <w:r>
        <w:t xml:space="preserve">1. Hyper-Localized Digital Content Strategy</w:t>
      </w:r>
    </w:p>
    <w:p>
      <w:pPr>
        <w:pStyle w:val="FirstParagraph"/>
      </w:pPr>
      <w:r>
        <w:t xml:space="preserve">We launched the "Miami Global Lens" digital series in June 2023, featuring exclusive analysis of Caribbean trade corridors, Latin American investment trends, and Miami-specific economic indicators (e.g., impact of U.S.-Cuba relations on South Florida business). This content drove a 45% increase in newsletter sign-ups among Miami subscribers and boosted digital engagement by 32%.</w:t>
      </w:r>
    </w:p>
    <w:bookmarkEnd w:id="23"/>
    <w:bookmarkStart w:id="24" w:name="corporate-partnership-program"/>
    <w:p>
      <w:pPr>
        <w:pStyle w:val="Heading3"/>
      </w:pPr>
      <w:r>
        <w:t xml:space="preserve">2. Corporate Partnership Program</w:t>
      </w:r>
    </w:p>
    <w:p>
      <w:pPr>
        <w:pStyle w:val="FirstParagraph"/>
      </w:pPr>
      <w:r>
        <w:t xml:space="preserve">Collaborated with Miami-based firms including Bank of America (Miami HQ), Citi, and Frost &amp; Sullivan to offer bulk subscriptions at premium rates for employee development programs. This initiative generated $512,000 in corporate sales during Q3 – 87% of which were new to The Economist.</w:t>
      </w:r>
    </w:p>
    <w:bookmarkEnd w:id="24"/>
    <w:bookmarkStart w:id="25" w:name="miami-specific-event-activation"/>
    <w:p>
      <w:pPr>
        <w:pStyle w:val="Heading3"/>
      </w:pPr>
      <w:r>
        <w:t xml:space="preserve">3. Miami-Specific Event Activation</w:t>
      </w:r>
    </w:p>
    <w:p>
      <w:pPr>
        <w:pStyle w:val="FirstParagraph"/>
      </w:pPr>
      <w:r>
        <w:t xml:space="preserve">Hosted two exclusive events at the JW Marriott Marquis: "The Future of Latin American Trade" (187 attendees) and "Miami's Economic Resilience Summit" (214 attendees). These events directly converted 14% of attendees to subscriptions, with an average lifetime value exceeding $650 per customer – significantly higher than our national average.</w:t>
      </w:r>
    </w:p>
    <w:bookmarkEnd w:id="25"/>
    <w:bookmarkEnd w:id="26"/>
    <w:bookmarkStart w:id="27" w:name="challenges-and-competitive-landscape"/>
    <w:p>
      <w:pPr>
        <w:pStyle w:val="Heading2"/>
      </w:pPr>
      <w:r>
        <w:t xml:space="preserve">Challenges and Competitive Landscape</w:t>
      </w:r>
    </w:p>
    <w:p>
      <w:pPr>
        <w:pStyle w:val="FirstParagraph"/>
      </w:pPr>
      <w:r>
        <w:t xml:space="preserve">While performance was strong, key challenges persist in the Miami market:</w:t>
      </w:r>
    </w:p>
    <w:p>
      <w:pPr>
        <w:numPr>
          <w:ilvl w:val="0"/>
          <w:numId w:val="1003"/>
        </w:numPr>
        <w:pStyle w:val="Compact"/>
      </w:pPr>
      <w:r>
        <w:rPr>
          <w:bCs/>
          <w:b/>
        </w:rPr>
        <w:t xml:space="preserve">Competition from Local Media:</w:t>
      </w:r>
      <w:r>
        <w:t xml:space="preserve"> </w:t>
      </w:r>
      <w:r>
        <w:t xml:space="preserve">Miami Herald's "Bussiness" section captured 38% of local business readership in Q3, though The Economist's digital analytics show higher engagement (avg. 7.2 minutes/session vs. Herald's 3.1).</w:t>
      </w:r>
    </w:p>
    <w:p>
      <w:pPr>
        <w:numPr>
          <w:ilvl w:val="0"/>
          <w:numId w:val="1003"/>
        </w:numPr>
        <w:pStyle w:val="Compact"/>
      </w:pPr>
      <w:r>
        <w:rPr>
          <w:bCs/>
          <w:b/>
        </w:rPr>
        <w:t xml:space="preserve">Subscription Fatigue:</w:t>
      </w:r>
      <w:r>
        <w:t xml:space="preserve"> </w:t>
      </w:r>
      <w:r>
        <w:t xml:space="preserve">29% of Miami prospects cited price sensitivity, though our premium positioning effectively resonated with high-income audiences.</w:t>
      </w:r>
    </w:p>
    <w:bookmarkEnd w:id="27"/>
    <w:bookmarkStart w:id="28" w:name="Xedb13697a2e41996c20f28cc4e36c551d047c33"/>
    <w:p>
      <w:pPr>
        <w:pStyle w:val="Heading2"/>
      </w:pPr>
      <w:r>
        <w:t xml:space="preserve">Future Outlook and Strategic Recommendations</w:t>
      </w:r>
    </w:p>
    <w:p>
      <w:pPr>
        <w:pStyle w:val="FirstParagraph"/>
      </w:pPr>
      <w:r>
        <w:t xml:space="preserve">The Miami market presents exceptional opportunity for continued expansion. Based on Q3 data, we project 22% annual growth in subscriptions by Q4 2023. Key initiatives for the coming quarter include:</w:t>
      </w:r>
    </w:p>
    <w:p>
      <w:pPr>
        <w:numPr>
          <w:ilvl w:val="0"/>
          <w:numId w:val="1004"/>
        </w:numPr>
        <w:pStyle w:val="Compact"/>
      </w:pPr>
      <w:r>
        <w:rPr>
          <w:bCs/>
          <w:b/>
        </w:rPr>
        <w:t xml:space="preserve">Launch "Pan-American Economic Digest" (November):</w:t>
      </w:r>
      <w:r>
        <w:t xml:space="preserve"> </w:t>
      </w:r>
      <w:r>
        <w:t xml:space="preserve">A weekly email specifically analyzing trade flows between Miami and Latin America, targeting Spanish-speaking executives.</w:t>
      </w:r>
    </w:p>
    <w:p>
      <w:pPr>
        <w:numPr>
          <w:ilvl w:val="0"/>
          <w:numId w:val="1004"/>
        </w:numPr>
        <w:pStyle w:val="Compact"/>
      </w:pPr>
      <w:r>
        <w:rPr>
          <w:bCs/>
          <w:b/>
        </w:rPr>
        <w:t xml:space="preserve">Expand Corporate Partnerships:</w:t>
      </w:r>
      <w:r>
        <w:t xml:space="preserve"> </w:t>
      </w:r>
      <w:r>
        <w:t xml:space="preserve">Targeting 5 additional Fortune 500 firms with regional HQs in Miami for bulk subscription deals.</w:t>
      </w:r>
    </w:p>
    <w:p>
      <w:pPr>
        <w:numPr>
          <w:ilvl w:val="0"/>
          <w:numId w:val="1004"/>
        </w:numPr>
        <w:pStyle w:val="Compact"/>
      </w:pPr>
      <w:r>
        <w:rPr>
          <w:bCs/>
          <w:b/>
        </w:rPr>
        <w:t xml:space="preserve">Miami Talent Recruitment Drive:</w:t>
      </w:r>
      <w:r>
        <w:t xml:space="preserve"> </w:t>
      </w:r>
      <w:r>
        <w:t xml:space="preserve">Hiring two local sales specialists to manage high-value corporate accounts and events, reducing acquisition costs by an estimated 22%.</w:t>
      </w:r>
    </w:p>
    <w:p>
      <w:pPr>
        <w:pStyle w:val="FirstParagraph"/>
      </w:pPr>
      <w:r>
        <w:t xml:space="preserve">Importantly, Miami's growth trajectory demonstrates how The Economist can leverage geographic specialization to drive U.S. market success. As one of the nation's most dynamic global cities, Miami provides a living laboratory for adapting The Economist's content and sales strategy to regional economic realities – a model we will scale nationally.</w:t>
      </w:r>
    </w:p>
    <w:bookmarkEnd w:id="28"/>
    <w:bookmarkStart w:id="29" w:name="conclusion"/>
    <w:p>
      <w:pPr>
        <w:pStyle w:val="Heading2"/>
      </w:pPr>
      <w:r>
        <w:t xml:space="preserve">Conclusion</w:t>
      </w:r>
    </w:p>
    <w:p>
      <w:pPr>
        <w:pStyle w:val="FirstParagraph"/>
      </w:pPr>
      <w:r>
        <w:t xml:space="preserve">The United States Miami market has proven that The Economist's global brand resonates powerfully with localized economic narratives. Q3 2023 delivered exceptional results – not as a fluke, but through deliberate strategic alignment with Miami's unique business ecosystem. This performance validates our approach to regional customization and establishes a blueprint for growth across other U.S. gateway cities (including New York and Los Angeles). The Economist's success in Miami isn't just about selling subscriptions; it's about becoming the indispensable intelligence partner for decision-makers navigating the interconnected Americas economy. We are confident that this market will deliver sustained double-digit growth through 2024, making Miami an even more critical pillar of The Economist's U.S. strategy.</w:t>
      </w:r>
    </w:p>
    <w:p>
      <w:pPr>
        <w:pStyle w:val="BodyText"/>
      </w:pPr>
      <w:r>
        <w:rPr>
          <w:bCs/>
          <w:b/>
        </w:rPr>
        <w:t xml:space="preserve">Key Metric Summary (Miami Q3 2023 vs. Q3 2022):</w:t>
      </w:r>
    </w:p>
    <w:p>
      <w:pPr>
        <w:numPr>
          <w:ilvl w:val="0"/>
          <w:numId w:val="1005"/>
        </w:numPr>
        <w:pStyle w:val="Compact"/>
      </w:pPr>
      <w:r>
        <w:t xml:space="preserve">Subscriptions: +18.7% (vs. U.S. avg +5.2%)</w:t>
      </w:r>
    </w:p>
    <w:p>
      <w:pPr>
        <w:numPr>
          <w:ilvl w:val="0"/>
          <w:numId w:val="1005"/>
        </w:numPr>
        <w:pStyle w:val="Compact"/>
      </w:pPr>
      <w:r>
        <w:t xml:space="preserve">Digital Growth: +31.2%</w:t>
      </w:r>
    </w:p>
    <w:p>
      <w:pPr>
        <w:numPr>
          <w:ilvl w:val="0"/>
          <w:numId w:val="1005"/>
        </w:numPr>
        <w:pStyle w:val="Compact"/>
      </w:pPr>
      <w:r>
        <w:t xml:space="preserve">Corporate Sales Revenue: $512,000 (+64%)</w:t>
      </w:r>
    </w:p>
    <w:p>
      <w:pPr>
        <w:numPr>
          <w:ilvl w:val="0"/>
          <w:numId w:val="1005"/>
        </w:numPr>
        <w:pStyle w:val="Compact"/>
      </w:pPr>
      <w:r>
        <w:t xml:space="preserve">Event-Driven Conversions: 14% (vs. industry avg 8.3%)</w:t>
      </w:r>
    </w:p>
    <w:p>
      <w:pPr>
        <w:pStyle w:val="FirstParagraph"/>
      </w:pPr>
      <w:r>
        <w:t xml:space="preserve">© 2023 The Economist Newspaper Limited | Confidential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United States Miami Market</dc:title>
  <dc:creator/>
  <dc:language>en</dc:language>
  <cp:keywords/>
  <dcterms:created xsi:type="dcterms:W3CDTF">2026-07-24T13:21:17Z</dcterms:created>
  <dcterms:modified xsi:type="dcterms:W3CDTF">2026-07-24T13:21:17Z</dcterms:modified>
</cp:coreProperties>
</file>

<file path=docProps/custom.xml><?xml version="1.0" encoding="utf-8"?>
<Properties xmlns="http://schemas.openxmlformats.org/officeDocument/2006/custom-properties" xmlns:vt="http://schemas.openxmlformats.org/officeDocument/2006/docPropsVTypes"/>
</file>