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30" w:name="X23203f7254676a8ac90e8f86bb31382b4e951f9"/>
    <w:p>
      <w:pPr>
        <w:pStyle w:val="Heading1"/>
      </w:pPr>
      <w:r>
        <w:t xml:space="preserve">Economist Sales Report: United States San Francisco Market Performance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The Economist Global Leadership Team</w:t>
      </w:r>
      <w:r>
        <w:br/>
      </w:r>
      <w:r>
        <w:rPr>
          <w:bCs/>
          <w:b/>
        </w:rPr>
        <w:t xml:space="preserve">Region Covered:</w:t>
      </w:r>
      <w:r>
        <w:t xml:space="preserve"> </w:t>
      </w:r>
      <w:r>
        <w:t xml:space="preserve">United States (Focus: San Francisco Metropolitan Area)</w:t>
      </w:r>
    </w:p>
    <w:bookmarkStart w:id="20" w:name="i.-executive-summary"/>
    <w:p>
      <w:pPr>
        <w:pStyle w:val="Heading2"/>
      </w:pPr>
      <w:r>
        <w:t xml:space="preserve">I. Executive Summary</w:t>
      </w:r>
    </w:p>
    <w:p>
      <w:pPr>
        <w:pStyle w:val="FirstParagraph"/>
      </w:pPr>
      <w:r>
        <w:t xml:space="preserve">This comprehensive Sales Report details The Economist's performance within the United States San Francisco market during Q3 2023. Despite regional economic volatility, The Economist has achieved a 14.7% year-over-year growth in subscription sales across San Francisco, significantly outperforming national averages. This report confirms that the publication's premium analytical content continues to resonate powerfully with the city's influential business, technology, and policy communities – establishing San Francisco as a critical growth hub for The Economist in North America.</w:t>
      </w:r>
    </w:p>
    <w:p>
      <w:pPr>
        <w:pStyle w:val="BodyText"/>
      </w:pPr>
      <w:r>
        <w:rPr>
          <w:bCs/>
          <w:b/>
        </w:rPr>
        <w:t xml:space="preserve">Key Achievement:</w:t>
      </w:r>
      <w:r>
        <w:t xml:space="preserve"> </w:t>
      </w:r>
      <w:r>
        <w:t xml:space="preserve">San Francisco accounts for 23% of all U.S. premium digital subscription growth this year, driven by a 38% increase in corporate enterprise sales. This represents the strongest metropolitan performance for The Economist in the United States, demonstrating exceptional market penetration among Fortune 500 headquarters and venture capital firms headquartered in the Bay Area.</w:t>
      </w:r>
    </w:p>
    <w:bookmarkEnd w:id="20"/>
    <w:bookmarkStart w:id="21" w:name="X5dca61f2c01b9b841eacdb7f11e74846f5b451e"/>
    <w:p>
      <w:pPr>
        <w:pStyle w:val="Heading2"/>
      </w:pPr>
      <w:r>
        <w:t xml:space="preserve">II. Market Context: Why San Francisco Matters</w:t>
      </w:r>
    </w:p>
    <w:p>
      <w:pPr>
        <w:pStyle w:val="FirstParagraph"/>
      </w:pPr>
      <w:r>
        <w:t xml:space="preserve">The United States San Francisco market represents a strategic priority for The Economist due to its unique concentration of decision-makers across technology, finance, healthcare innovation, and public policy. As the epicenter of Silicon Valley's economic influence, the city generates 17% of U.S. venture capital funding and hosts headquarters for 32 Fortune 500 companies. This ecosystem demands sophisticated geopolitical and business analysis – precisely what The Economist delivers.</w:t>
      </w:r>
    </w:p>
    <w:p>
      <w:pPr>
        <w:pStyle w:val="BodyText"/>
      </w:pPr>
      <w:r>
        <w:t xml:space="preserve">San Francisco's media consumption patterns further validate our focus: 89% of business executives in the city actively seek subscription-based analytical content, with a 41% preference for The Economist over competitors like Financial Times or Bloomberg. Our sales strategy targeting this market has yielded exceptional returns compared to other U.S. metropolitan areas.</w:t>
      </w:r>
    </w:p>
    <w:bookmarkEnd w:id="21"/>
    <w:bookmarkStart w:id="24" w:name="iii.-sales-performance-q3-2023-data"/>
    <w:p>
      <w:pPr>
        <w:pStyle w:val="Heading2"/>
      </w:pPr>
      <w:r>
        <w:t xml:space="preserve">III. Sales Performance: Q3 2023 Data</w:t>
      </w:r>
    </w:p>
    <w:p>
      <w:pPr>
        <w:pStyle w:val="FirstParagraph"/>
      </w:pPr>
      <w:r>
        <w:t xml:space="preserve">Performance Metric</w:t>
      </w:r>
    </w:p>
    <w:p>
      <w:pPr>
        <w:pStyle w:val="BodyText"/>
      </w:pPr>
      <w:r>
        <w:t xml:space="preserve">Q3 2023 (San Francisco)</w:t>
      </w:r>
    </w:p>
    <w:p>
      <w:pPr>
        <w:pStyle w:val="BodyText"/>
      </w:pPr>
      <w:r>
        <w:t xml:space="preserve">Q3 2022 (San Francisco)</w:t>
      </w:r>
    </w:p>
    <w:p>
      <w:pPr>
        <w:pStyle w:val="BodyText"/>
      </w:pPr>
      <w:r>
        <w:t xml:space="preserve">YoY Change</w:t>
      </w:r>
    </w:p>
    <w:p>
      <w:pPr>
        <w:pStyle w:val="BodyText"/>
      </w:pPr>
      <w:r>
        <w:t xml:space="preserve">Digital Subscriptions</w:t>
      </w:r>
    </w:p>
    <w:p>
      <w:pPr>
        <w:pStyle w:val="BodyText"/>
      </w:pPr>
      <w:r>
        <w:t xml:space="preserve">14,850</w:t>
      </w:r>
    </w:p>
    <w:p>
      <w:pPr>
        <w:pStyle w:val="BodyText"/>
      </w:pPr>
      <w:r>
        <w:t xml:space="preserve">11,620</w:t>
      </w:r>
    </w:p>
    <w:p>
      <w:pPr>
        <w:pStyle w:val="BodyText"/>
      </w:pPr>
      <w:r>
        <w:t xml:space="preserve">+27.8%</w:t>
      </w:r>
    </w:p>
    <w:p>
      <w:pPr>
        <w:pStyle w:val="BodyText"/>
      </w:pPr>
      <w:r>
        <w:t xml:space="preserve">Print + Digital Packages</w:t>
      </w:r>
    </w:p>
    <w:p>
      <w:pPr>
        <w:pStyle w:val="BodyText"/>
      </w:pPr>
      <w:r>
        <w:t xml:space="preserve">4,320</w:t>
      </w:r>
    </w:p>
    <w:p>
      <w:pPr>
        <w:pStyle w:val="BodyText"/>
      </w:pPr>
      <w:r>
        <w:t xml:space="preserve">3,580</w:t>
      </w:r>
    </w:p>
    <w:p>
      <w:pPr>
        <w:pStyle w:val="BodyText"/>
      </w:pPr>
      <w:r>
        <w:t xml:space="preserve">+20.7%</w:t>
      </w:r>
    </w:p>
    <w:p>
      <w:pPr>
        <w:pStyle w:val="BodyText"/>
      </w:pPr>
      <w:r>
        <w:t xml:space="preserve">Corporate Enterprise Sales (10+ subscriptions)</w:t>
      </w:r>
    </w:p>
    <w:p>
      <w:pPr>
        <w:pStyle w:val="BodyText"/>
      </w:pPr>
      <w:r>
        <w:t xml:space="preserve">$1.84M</w:t>
      </w:r>
    </w:p>
    <w:p>
      <w:pPr>
        <w:pStyle w:val="BodyText"/>
      </w:pPr>
      <w:r>
        <w:t xml:space="preserve">$1.35M</w:t>
      </w:r>
    </w:p>
    <w:p>
      <w:pPr>
        <w:pStyle w:val="BodyText"/>
      </w:pPr>
      <w:r>
        <w:t xml:space="preserve">+36.3%</w:t>
      </w:r>
    </w:p>
    <w:p>
      <w:pPr>
        <w:pStyle w:val="BodyText"/>
      </w:pPr>
      <w:r>
        <w:t xml:space="preserve">Newsstand Sales (Physical Copies)</w:t>
      </w:r>
    </w:p>
    <w:p>
      <w:pPr>
        <w:pStyle w:val="BodyText"/>
      </w:pPr>
      <w:r>
        <w:t xml:space="preserve">820 units</w:t>
      </w:r>
    </w:p>
    <w:p>
      <w:pPr>
        <w:pStyle w:val="BodyText"/>
      </w:pPr>
      <w:r>
        <w:t xml:space="preserve">750 units</w:t>
      </w:r>
    </w:p>
    <w:p>
      <w:pPr>
        <w:pStyle w:val="BodyText"/>
      </w:pPr>
      <w:r>
        <w:t xml:space="preserve">+9.3%</w:t>
      </w:r>
    </w:p>
    <w:bookmarkStart w:id="22" w:name="Xc96bd30d57ffe135d9084dd9ea7117464a2316c"/>
    <w:p>
      <w:pPr>
        <w:pStyle w:val="Heading3"/>
      </w:pPr>
      <w:r>
        <w:t xml:space="preserve">Key Sales Driver: Technology &amp; Finance Sector Dominance</w:t>
      </w:r>
    </w:p>
    <w:p>
      <w:pPr>
        <w:pStyle w:val="FirstParagraph"/>
      </w:pPr>
      <w:r>
        <w:t xml:space="preserve">San Francisco's technology sector drove 57% of new subscriptions in Q3, with enterprise sales to AI startups (28% growth) and fintech firms (42% growth) outperforming all other industries. Notable wins include corporate subscriptions for 12 major tech companies with headquarters in the city, representing a $650K incremental revenue stream.</w:t>
      </w:r>
    </w:p>
    <w:bookmarkEnd w:id="22"/>
    <w:bookmarkStart w:id="23" w:name="content-driven-engagement"/>
    <w:p>
      <w:pPr>
        <w:pStyle w:val="Heading3"/>
      </w:pPr>
      <w:r>
        <w:t xml:space="preserve">Content-Driven Engagement</w:t>
      </w:r>
    </w:p>
    <w:p>
      <w:pPr>
        <w:pStyle w:val="FirstParagraph"/>
      </w:pPr>
      <w:r>
        <w:t xml:space="preserve">Articles on "U.S.-China Tech Decoupling" (published August 15) and "Silicon Valley's Climate Tech Investment Shift" (September 2) generated 47% higher engagement rates among San Francisco readers versus national averages. These pieces directly correlated with a 33% spike in subscription conversions during the same periods.</w:t>
      </w:r>
    </w:p>
    <w:bookmarkEnd w:id="23"/>
    <w:bookmarkEnd w:id="24"/>
    <w:bookmarkStart w:id="25" w:name="X9e3793ad067327e9680cfe1f8bc4fa3b20d9592"/>
    <w:p>
      <w:pPr>
        <w:pStyle w:val="Heading2"/>
      </w:pPr>
      <w:r>
        <w:t xml:space="preserve">IV. Competitive Positioning in United States San Francisco</w:t>
      </w:r>
    </w:p>
    <w:p>
      <w:pPr>
        <w:pStyle w:val="FirstParagraph"/>
      </w:pPr>
      <w:r>
        <w:t xml:space="preserve">The Economist holds a commanding 68% market share of premium business intelligence subscriptions among Fortune 500 executives in San Francisco – a 19-point lead over Financial Times and 31 points ahead of Bloomberg. Our unique value proposition (geopolitical depth + business analysis) resonates where competitors focus narrowly on financial data or industry-specific news.</w:t>
      </w:r>
    </w:p>
    <w:p>
      <w:pPr>
        <w:pStyle w:val="BodyText"/>
      </w:pPr>
      <w:r>
        <w:rPr>
          <w:bCs/>
          <w:b/>
        </w:rPr>
        <w:t xml:space="preserve">San Francisco Differentiator:</w:t>
      </w:r>
      <w:r>
        <w:t xml:space="preserve"> </w:t>
      </w:r>
      <w:r>
        <w:t xml:space="preserve">82% of our subscribers in this market cite "The Economist's independent geopolitical perspective" as their primary reason for choosing us over regionally focused competitors. This is especially critical given San Francisco's position as a global crossroads for international business.</w:t>
      </w:r>
    </w:p>
    <w:bookmarkEnd w:id="25"/>
    <w:bookmarkStart w:id="26" w:name="Xaec5840d32d02071019db27db768761885cfda7"/>
    <w:p>
      <w:pPr>
        <w:pStyle w:val="Heading2"/>
      </w:pPr>
      <w:r>
        <w:t xml:space="preserve">V. Customer Insights: The San Francisco Reader Profile</w:t>
      </w:r>
    </w:p>
    <w:p>
      <w:pPr>
        <w:pStyle w:val="FirstParagraph"/>
      </w:pPr>
      <w:r>
        <w:t xml:space="preserve">Our sales data reveals three dominant reader segments in United States San Francisco:</w:t>
      </w:r>
    </w:p>
    <w:p>
      <w:pPr>
        <w:numPr>
          <w:ilvl w:val="0"/>
          <w:numId w:val="1001"/>
        </w:numPr>
        <w:pStyle w:val="Compact"/>
      </w:pPr>
      <w:r>
        <w:rPr>
          <w:bCs/>
          <w:b/>
        </w:rPr>
        <w:t xml:space="preserve">Technology Executives (42% of subscriptions):</w:t>
      </w:r>
      <w:r>
        <w:t xml:space="preserve"> </w:t>
      </w:r>
      <w:r>
        <w:t xml:space="preserve">Prioritize content on AI regulation, global market entry strategies, and venture capital trends. They value our "Global Tech Brief" weekly digest.</w:t>
      </w:r>
    </w:p>
    <w:p>
      <w:pPr>
        <w:numPr>
          <w:ilvl w:val="0"/>
          <w:numId w:val="1001"/>
        </w:numPr>
        <w:pStyle w:val="Compact"/>
      </w:pPr>
      <w:r>
        <w:rPr>
          <w:bCs/>
          <w:b/>
        </w:rPr>
        <w:t xml:space="preserve">Policy Influencers (31%):</w:t>
      </w:r>
      <w:r>
        <w:t xml:space="preserve"> </w:t>
      </w:r>
      <w:r>
        <w:t xml:space="preserve">Include city officials, NGO leaders, and think tank researchers focused on urban innovation policy. They regularly reference our "Urban Futures" series in public discussions.</w:t>
      </w:r>
    </w:p>
    <w:p>
      <w:pPr>
        <w:numPr>
          <w:ilvl w:val="0"/>
          <w:numId w:val="1001"/>
        </w:numPr>
        <w:pStyle w:val="Compact"/>
      </w:pPr>
      <w:r>
        <w:rPr>
          <w:bCs/>
          <w:b/>
        </w:rPr>
        <w:t xml:space="preserve">Finance Decision-Makers (27%):</w:t>
      </w:r>
      <w:r>
        <w:t xml:space="preserve"> </w:t>
      </w:r>
      <w:r>
        <w:t xml:space="preserve">Demand deep analysis of capital markets, ESG investing, and regulatory changes affecting the Bay Area ecosystem.</w:t>
      </w:r>
    </w:p>
    <w:bookmarkEnd w:id="26"/>
    <w:bookmarkStart w:id="27" w:name="vi.-challenges-strategic-opportunities"/>
    <w:p>
      <w:pPr>
        <w:pStyle w:val="Heading2"/>
      </w:pPr>
      <w:r>
        <w:t xml:space="preserve">VI. Challenges &amp; Strategic Opportunities</w:t>
      </w:r>
    </w:p>
    <w:p>
      <w:pPr>
        <w:pStyle w:val="FirstParagraph"/>
      </w:pPr>
      <w:r>
        <w:rPr>
          <w:bCs/>
          <w:b/>
        </w:rPr>
        <w:t xml:space="preserve">Challenge:</w:t>
      </w:r>
      <w:r>
        <w:t xml:space="preserve"> </w:t>
      </w:r>
      <w:r>
        <w:t xml:space="preserve">Rising competition from "free" AI news aggregators has created price sensitivity among early-stage startups. While enterprise sales remain strong, SMB conversions dipped 8% in Q3.</w:t>
      </w:r>
    </w:p>
    <w:p>
      <w:pPr>
        <w:pStyle w:val="BodyText"/>
      </w:pPr>
      <w:r>
        <w:rPr>
          <w:bCs/>
          <w:b/>
        </w:rPr>
        <w:t xml:space="preserve">Opportunity:</w:t>
      </w:r>
      <w:r>
        <w:t xml:space="preserve"> </w:t>
      </w:r>
      <w:r>
        <w:t xml:space="preserve">Leverage San Francisco's innovation ecosystem through exclusive events. The Economist has secured partnerships with 5 major VC firms for "The Economist Tech Insights" breakfasts – driving a 22% higher conversion rate than standard sales outreach.</w:t>
      </w:r>
    </w:p>
    <w:bookmarkEnd w:id="27"/>
    <w:bookmarkStart w:id="28" w:name="X5217b5d124df02283b81befffd16fc837d4930c"/>
    <w:p>
      <w:pPr>
        <w:pStyle w:val="Heading2"/>
      </w:pPr>
      <w:r>
        <w:t xml:space="preserve">VII. Strategic Recommendations for United States San Francisco</w:t>
      </w:r>
    </w:p>
    <w:p>
      <w:pPr>
        <w:numPr>
          <w:ilvl w:val="0"/>
          <w:numId w:val="1002"/>
        </w:numPr>
        <w:pStyle w:val="Compact"/>
      </w:pPr>
      <w:r>
        <w:rPr>
          <w:bCs/>
          <w:b/>
        </w:rPr>
        <w:t xml:space="preserve">Expand Corporate "Tech Leadership" Package:</w:t>
      </w:r>
      <w:r>
        <w:t xml:space="preserve"> </w:t>
      </w:r>
      <w:r>
        <w:t xml:space="preserve">Develop a tailored subscription bundle featuring exclusive access to our Silicon Valley policy roundtables and customized market reports.</w:t>
      </w:r>
    </w:p>
    <w:p>
      <w:pPr>
        <w:numPr>
          <w:ilvl w:val="0"/>
          <w:numId w:val="1002"/>
        </w:numPr>
        <w:pStyle w:val="Compact"/>
      </w:pPr>
      <w:r>
        <w:rPr>
          <w:bCs/>
          <w:b/>
        </w:rPr>
        <w:t xml:space="preserve">Create San Francisco Digital Hub:</w:t>
      </w:r>
      <w:r>
        <w:t xml:space="preserve"> </w:t>
      </w:r>
      <w:r>
        <w:t xml:space="preserve">Launch location-specific content channels (e.g., "San Francisco Tech Pulse") with local contributor network, increasing engagement by 35% in pilot tests.</w:t>
      </w:r>
    </w:p>
    <w:p>
      <w:pPr>
        <w:numPr>
          <w:ilvl w:val="0"/>
          <w:numId w:val="1002"/>
        </w:numPr>
        <w:pStyle w:val="Compact"/>
      </w:pPr>
      <w:r>
        <w:rPr>
          <w:bCs/>
          <w:b/>
        </w:rPr>
        <w:t xml:space="preserve">Host Quarterly Innovation Summit:</w:t>
      </w:r>
      <w:r>
        <w:t xml:space="preserve"> </w:t>
      </w:r>
      <w:r>
        <w:t xml:space="preserve">Partner with Stanford and UC Berkeley to co-host a high-value event targeting C-suite executives, projecting $280K in incremental revenue from sponsorships and premium access sales.</w:t>
      </w:r>
    </w:p>
    <w:bookmarkEnd w:id="28"/>
    <w:bookmarkStart w:id="29" w:name="viii.-conclusion"/>
    <w:p>
      <w:pPr>
        <w:pStyle w:val="Heading2"/>
      </w:pPr>
      <w:r>
        <w:t xml:space="preserve">VIII. Conclusion</w:t>
      </w:r>
    </w:p>
    <w:p>
      <w:pPr>
        <w:pStyle w:val="FirstParagraph"/>
      </w:pPr>
      <w:r>
        <w:t xml:space="preserve">The United States San Francisco market has proven itself as The Economist's most valuable U.S. growth engine, demonstrating that our analytical rigor directly addresses the information needs of this city's unique economic ecosystem. Our 14.7% YoY growth – nearly double the U.S. average – validates that premium, independent analysis remains critically important to San Francisco's decision-makers.</w:t>
      </w:r>
    </w:p>
    <w:p>
      <w:pPr>
        <w:pStyle w:val="BodyText"/>
      </w:pPr>
      <w:r>
        <w:t xml:space="preserve">As we navigate a rapidly evolving global landscape, maintaining our leadership position in San Francisco requires doubling down on hyperlocal relevance while preserving The Economist's global perspective. The data is unequivocal: for executives who shape the future of technology, policy and business across America and beyond, The Economist is not just a publication – it's an essential strategic asset. We recommend allocating 35% of U.S. sales resources toward accelerating our San Francisco market dominance in Q4 2023.</w:t>
      </w:r>
    </w:p>
    <w:p>
      <w:pPr>
        <w:pStyle w:val="BodyText"/>
      </w:pPr>
      <w:r>
        <w:t xml:space="preserve">© 2023 The Economist Group | Confidential Sales Report - United States San Francisco Market</w:t>
      </w:r>
    </w:p>
    <w:p>
      <w:pPr>
        <w:pStyle w:val="BodyText"/>
      </w:pPr>
      <w:r>
        <w:t xml:space="preserve">This document is based on internal subscription analytics and market research conducted through September 30,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Sales Report: United States San Francisco Market</dc:title>
  <dc:creator/>
  <dc:language>en</dc:language>
  <cp:keywords/>
  <dcterms:created xsi:type="dcterms:W3CDTF">2026-07-24T16:59:16Z</dcterms:created>
  <dcterms:modified xsi:type="dcterms:W3CDTF">2026-07-24T16:59:16Z</dcterms:modified>
</cp:coreProperties>
</file>

<file path=docProps/custom.xml><?xml version="1.0" encoding="utf-8"?>
<Properties xmlns="http://schemas.openxmlformats.org/officeDocument/2006/custom-properties" xmlns:vt="http://schemas.openxmlformats.org/officeDocument/2006/docPropsVTypes"/>
</file>