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Venezuela</w:t>
      </w:r>
      <w:r>
        <w:t xml:space="preserve"> </w:t>
      </w:r>
      <w:r>
        <w:t xml:space="preserve">Caracas</w:t>
      </w:r>
    </w:p>
    <w:bookmarkStart w:id="27" w:name="X17792cb97974bc7797b5826d927b56887c252fd"/>
    <w:p>
      <w:pPr>
        <w:pStyle w:val="Heading1"/>
      </w:pPr>
      <w:r>
        <w:t xml:space="preserve">Sales Report: The Economist in Venezuela Caracas – Q3 2023 Performance Analysis</w:t>
      </w:r>
    </w:p>
    <w:p>
      <w:pPr>
        <w:pStyle w:val="FirstParagraph"/>
      </w:pPr>
      <w:r>
        <w:rPr>
          <w:bCs/>
          <w:b/>
        </w:rPr>
        <w:t xml:space="preserve">Prepared For:</w:t>
      </w:r>
      <w:r>
        <w:t xml:space="preserve"> </w:t>
      </w:r>
      <w:r>
        <w:t xml:space="preserve">The Economist International Sales Department</w:t>
      </w:r>
      <w:r>
        <w:br/>
      </w:r>
      <w:r>
        <w:rPr>
          <w:bCs/>
          <w:b/>
        </w:rPr>
        <w:t xml:space="preserve">Date:</w:t>
      </w:r>
      <w:r>
        <w:t xml:space="preserve"> </w:t>
      </w:r>
      <w:r>
        <w:t xml:space="preserve">October 26, 2023</w:t>
      </w:r>
      <w:r>
        <w:br/>
      </w:r>
      <w:r>
        <w:rPr>
          <w:bCs/>
          <w:b/>
        </w:rPr>
        <w:t xml:space="preserve">Region:</w:t>
      </w:r>
      <w:r>
        <w:t xml:space="preserve"> </w:t>
      </w:r>
      <w:r>
        <w:t xml:space="preserve">Venezuela Caracas (Including National Coverage)</w:t>
      </w:r>
    </w:p>
    <w:bookmarkStart w:id="20" w:name="i.-executive-summary"/>
    <w:p>
      <w:pPr>
        <w:pStyle w:val="Heading2"/>
      </w:pPr>
      <w:r>
        <w:t xml:space="preserve">I. Executive Summary</w:t>
      </w:r>
    </w:p>
    <w:p>
      <w:pPr>
        <w:pStyle w:val="FirstParagraph"/>
      </w:pPr>
      <w:r>
        <w:t xml:space="preserve">This comprehensive Sales Report details the performance of The Economist in Venezuela Caracas during the third quarter of 2023. Despite unprecedented economic volatility in Venezuela, The Economist maintained a resilient subscriber base in Caracas, demonstrating remarkable growth potential through digital subscriptions. This report confirms that The Economist remains the most trusted global business and political analysis platform for Venezuela's elite professionals, with a 17% year-on-year increase in digital subscriptions from Caracas-based clients. Our strategic pivot toward mobile-first engagement has proven critical in navigating Venezuela's complex economic landscape.</w:t>
      </w:r>
    </w:p>
    <w:bookmarkEnd w:id="20"/>
    <w:bookmarkStart w:id="21" w:name="Xdf6c0688ad3dec42f29f3432780c75d9e1ef274"/>
    <w:p>
      <w:pPr>
        <w:pStyle w:val="Heading2"/>
      </w:pPr>
      <w:r>
        <w:t xml:space="preserve">II. Market Context: Venezuela Caracas Economic Environment</w:t>
      </w:r>
    </w:p>
    <w:p>
      <w:pPr>
        <w:pStyle w:val="FirstParagraph"/>
      </w:pPr>
      <w:r>
        <w:t xml:space="preserve">Venezuela Caracas continues to operate within a hyperinflationary economy where the bolívar has lost over 99% of its value since 2018. However, The Economist's unique position as an independent global authority provides unparalleled value to Venezuelan business leaders seeking credible economic analysis amid local misinformation. In Q3, Caracas saw a surge in demand for international market intelligence as foreign investment signals improved following diplomatic breakthroughs. This heightened interest directly translated into increased subscription activity for The Economist across Caracas' corporate and academic sectors.</w:t>
      </w:r>
    </w:p>
    <w:bookmarkEnd w:id="21"/>
    <w:bookmarkStart w:id="22" w:name="X343c5483c1f75a44f1116805b710219deb83679"/>
    <w:p>
      <w:pPr>
        <w:pStyle w:val="Heading2"/>
      </w:pPr>
      <w:r>
        <w:t xml:space="preserve">III. Sales Performance: Venezuela Caracas Key Metrics (Q3 2023)</w:t>
      </w:r>
    </w:p>
    <w:p>
      <w:pPr>
        <w:pStyle w:val="FirstParagraph"/>
      </w:pPr>
      <w:r>
        <w:t xml:space="preserve">Metrics</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Digital Subscriptions (Caracas)</w:t>
      </w:r>
    </w:p>
    <w:p>
      <w:pPr>
        <w:pStyle w:val="BodyText"/>
      </w:pPr>
      <w:r>
        <w:t xml:space="preserve">$18,500 USD equivalent</w:t>
      </w:r>
    </w:p>
    <w:p>
      <w:pPr>
        <w:pStyle w:val="BodyText"/>
      </w:pPr>
      <w:r>
        <w:t xml:space="preserve">$15,200 USD</w:t>
      </w:r>
    </w:p>
    <w:p>
      <w:pPr>
        <w:pStyle w:val="BodyText"/>
      </w:pPr>
      <w:r>
        <w:t xml:space="preserve">+21.7%</w:t>
      </w:r>
    </w:p>
    <w:p>
      <w:pPr>
        <w:pStyle w:val="BodyText"/>
      </w:pPr>
      <w:r>
        <w:t xml:space="preserve">Print Subscriptions (Caracas)</w:t>
      </w:r>
    </w:p>
    <w:p>
      <w:pPr>
        <w:pStyle w:val="BodyText"/>
      </w:pPr>
      <w:r>
        <w:t xml:space="preserve">$3,250 USD</w:t>
      </w:r>
    </w:p>
    <w:p>
      <w:pPr>
        <w:pStyle w:val="BodyText"/>
      </w:pPr>
      <w:r>
        <w:t xml:space="preserve">$3,800 USD</w:t>
      </w:r>
    </w:p>
    <w:p>
      <w:pPr>
        <w:pStyle w:val="BodyText"/>
      </w:pPr>
      <w:r>
        <w:t xml:space="preserve">Note: Print decline driven by local distribution challenges in Venezuela Caracas.</w:t>
      </w:r>
    </w:p>
    <w:p>
      <w:pPr>
        <w:pStyle w:val="BodyText"/>
      </w:pPr>
      <w:r>
        <w:t xml:space="preserve">Corporate Accounts (Caracas)</w:t>
      </w:r>
    </w:p>
    <w:p>
      <w:pPr>
        <w:pStyle w:val="BodyText"/>
      </w:pPr>
      <w:r>
        <w:t xml:space="preserve">127 new</w:t>
      </w:r>
    </w:p>
    <w:p>
      <w:pPr>
        <w:pStyle w:val="BodyText"/>
      </w:pPr>
      <w:r>
        <w:t xml:space="preserve">98</w:t>
      </w:r>
    </w:p>
    <w:p>
      <w:pPr>
        <w:pStyle w:val="BodyText"/>
      </w:pPr>
      <w:r>
        <w:t xml:space="preserve">+30.6%</w:t>
      </w:r>
    </w:p>
    <w:p>
      <w:pPr>
        <w:pStyle w:val="BodyText"/>
      </w:pPr>
      <w:r>
        <w:t xml:space="preserve">Academic Institutional Subscriptions</w:t>
      </w:r>
    </w:p>
    <w:p>
      <w:pPr>
        <w:pStyle w:val="BodyText"/>
      </w:pPr>
      <w:r>
        <w:t xml:space="preserve">43 institutions</w:t>
      </w:r>
    </w:p>
    <w:p>
      <w:pPr>
        <w:pStyle w:val="BodyText"/>
      </w:pPr>
      <w:r>
        <w:t xml:space="preserve">31 institutions</w:t>
      </w:r>
    </w:p>
    <w:p>
      <w:pPr>
        <w:pStyle w:val="BodyText"/>
      </w:pPr>
      <w:r>
        <w:t xml:space="preserve">+38.7%</w:t>
      </w:r>
    </w:p>
    <w:bookmarkEnd w:id="22"/>
    <w:bookmarkStart w:id="23" w:name="X98339e960f44626bec74e71663a12c5aeff137e"/>
    <w:p>
      <w:pPr>
        <w:pStyle w:val="Heading2"/>
      </w:pPr>
      <w:r>
        <w:t xml:space="preserve">IV. Success Drivers in Venezuela Caracas Market</w:t>
      </w:r>
    </w:p>
    <w:p>
      <w:pPr>
        <w:pStyle w:val="FirstParagraph"/>
      </w:pPr>
      <w:r>
        <w:t xml:space="preserve">The Economist's Q3 success in Venezuela Caracas stems from three strategic imperatives:</w:t>
      </w:r>
    </w:p>
    <w:p>
      <w:pPr>
        <w:numPr>
          <w:ilvl w:val="0"/>
          <w:numId w:val="1001"/>
        </w:numPr>
        <w:pStyle w:val="Compact"/>
      </w:pPr>
      <w:r>
        <w:rPr>
          <w:bCs/>
          <w:b/>
        </w:rPr>
        <w:t xml:space="preserve">Hyper-Relevance of Content:</w:t>
      </w:r>
      <w:r>
        <w:t xml:space="preserve"> </w:t>
      </w:r>
      <w:r>
        <w:t xml:space="preserve">Articles analyzing Venezuela's oil sector recovery (e.g., "OPEC+ Dynamics: Venezuela’s Reemergence") generated 23% higher engagement than global average in Caracas. Local journalists consistently cite The Economist as their primary reference source.</w:t>
      </w:r>
    </w:p>
    <w:p>
      <w:pPr>
        <w:numPr>
          <w:ilvl w:val="0"/>
          <w:numId w:val="1001"/>
        </w:numPr>
        <w:pStyle w:val="Compact"/>
      </w:pPr>
      <w:r>
        <w:rPr>
          <w:bCs/>
          <w:b/>
        </w:rPr>
        <w:t xml:space="preserve">Digital Accessibility:</w:t>
      </w:r>
      <w:r>
        <w:t xml:space="preserve"> </w:t>
      </w:r>
      <w:r>
        <w:t xml:space="preserve">Our mobile-optimized platform became the dominant channel (78% of sales). In Caracas, where internet costs are prohibitively high for many, The Economist's low-bandwidth "Essential Editions" reduced data consumption by 60% compared to competitors.</w:t>
      </w:r>
    </w:p>
    <w:p>
      <w:pPr>
        <w:numPr>
          <w:ilvl w:val="0"/>
          <w:numId w:val="1001"/>
        </w:numPr>
        <w:pStyle w:val="Compact"/>
      </w:pPr>
      <w:r>
        <w:rPr>
          <w:bCs/>
          <w:b/>
        </w:rPr>
        <w:t xml:space="preserve">Trust Capital:</w:t>
      </w:r>
      <w:r>
        <w:t xml:space="preserve"> </w:t>
      </w:r>
      <w:r>
        <w:t xml:space="preserve">During Venezuela Caracas' political uncertainty, readers valued The Economist's non-partisan analysis. A post-Q3 survey showed 92% of Caracas subscribers consider it "essential for business decisions" – far exceeding regional averages.</w:t>
      </w:r>
    </w:p>
    <w:bookmarkEnd w:id="23"/>
    <w:bookmarkStart w:id="24" w:name="X784120b48613cd911edbb3ab075756a07717e1d"/>
    <w:p>
      <w:pPr>
        <w:pStyle w:val="Heading2"/>
      </w:pPr>
      <w:r>
        <w:t xml:space="preserve">V. Challenges Facing The Economist in Venezuela Caracas</w:t>
      </w:r>
    </w:p>
    <w:p>
      <w:pPr>
        <w:pStyle w:val="FirstParagraph"/>
      </w:pPr>
      <w:r>
        <w:t xml:space="preserve">Despite growth, critical challenges persist:</w:t>
      </w:r>
    </w:p>
    <w:p>
      <w:pPr>
        <w:numPr>
          <w:ilvl w:val="0"/>
          <w:numId w:val="1002"/>
        </w:numPr>
        <w:pStyle w:val="Compact"/>
      </w:pPr>
      <w:r>
        <w:rPr>
          <w:bCs/>
          <w:b/>
        </w:rPr>
        <w:t xml:space="preserve">Currency Instability:</w:t>
      </w:r>
      <w:r>
        <w:t xml:space="preserve"> </w:t>
      </w:r>
      <w:r>
        <w:t xml:space="preserve">83% of Venezuelan subscriptions are paid in USD, creating friction for local businesses amid currency controls. We've implemented a "Venezuela Currency Solution" allowing bolívar payments at fixed USD rates.</w:t>
      </w:r>
    </w:p>
    <w:p>
      <w:pPr>
        <w:numPr>
          <w:ilvl w:val="0"/>
          <w:numId w:val="1002"/>
        </w:numPr>
        <w:pStyle w:val="Compact"/>
      </w:pPr>
      <w:r>
        <w:rPr>
          <w:bCs/>
          <w:b/>
        </w:rPr>
        <w:t xml:space="preserve">Distribution Logistics:</w:t>
      </w:r>
      <w:r>
        <w:t xml:space="preserve"> </w:t>
      </w:r>
      <w:r>
        <w:t xml:space="preserve">Physical distribution to Caracas is complex due to import restrictions. This forced us to accelerate digital transition – now 89% of Venezuela Caracas subscriptions are fully digital.</w:t>
      </w:r>
    </w:p>
    <w:p>
      <w:pPr>
        <w:numPr>
          <w:ilvl w:val="0"/>
          <w:numId w:val="1002"/>
        </w:numPr>
        <w:pStyle w:val="Compact"/>
      </w:pPr>
      <w:r>
        <w:rPr>
          <w:bCs/>
          <w:b/>
        </w:rPr>
        <w:t xml:space="preserve">Competition:</w:t>
      </w:r>
      <w:r>
        <w:t xml:space="preserve"> </w:t>
      </w:r>
      <w:r>
        <w:t xml:space="preserve">Local publications like</w:t>
      </w:r>
      <w:r>
        <w:t xml:space="preserve"> </w:t>
      </w:r>
      <w:r>
        <w:rPr>
          <w:iCs/>
          <w:i/>
        </w:rPr>
        <w:t xml:space="preserve">Caraota Digital</w:t>
      </w:r>
      <w:r>
        <w:t xml:space="preserve"> </w:t>
      </w:r>
      <w:r>
        <w:t xml:space="preserve">offer free content but lack analytical depth. The Economist must maintain its premium positioning while addressing price sensitivity in Venezuela's constrained economy.</w:t>
      </w:r>
    </w:p>
    <w:bookmarkEnd w:id="24"/>
    <w:bookmarkStart w:id="25" w:name="Xaae265169494b182a7a7243c64c2d4384faf9d0"/>
    <w:p>
      <w:pPr>
        <w:pStyle w:val="Heading2"/>
      </w:pPr>
      <w:r>
        <w:t xml:space="preserve">VI. Strategic Recommendations for Venezuela Caracas</w:t>
      </w:r>
    </w:p>
    <w:p>
      <w:pPr>
        <w:pStyle w:val="FirstParagraph"/>
      </w:pPr>
      <w:r>
        <w:t xml:space="preserve">To capitalize on momentum, we recommend immediate actions:</w:t>
      </w:r>
    </w:p>
    <w:p>
      <w:pPr>
        <w:numPr>
          <w:ilvl w:val="0"/>
          <w:numId w:val="1003"/>
        </w:numPr>
        <w:pStyle w:val="Compact"/>
      </w:pPr>
      <w:r>
        <w:rPr>
          <w:bCs/>
          <w:b/>
        </w:rPr>
        <w:t xml:space="preserve">Launch "Caracas Premium Package":</w:t>
      </w:r>
      <w:r>
        <w:t xml:space="preserve"> </w:t>
      </w:r>
      <w:r>
        <w:t xml:space="preserve">Bundle digital access with exclusive Venezuela-focused webinars (featuring local economists) at 15% below standard rate. Targets corporate clients needing localized insights.</w:t>
      </w:r>
    </w:p>
    <w:p>
      <w:pPr>
        <w:numPr>
          <w:ilvl w:val="0"/>
          <w:numId w:val="1003"/>
        </w:numPr>
        <w:pStyle w:val="Compact"/>
      </w:pPr>
      <w:r>
        <w:rPr>
          <w:bCs/>
          <w:b/>
        </w:rPr>
        <w:t xml:space="preserve">Expand University Partnerships:</w:t>
      </w:r>
      <w:r>
        <w:t xml:space="preserve"> </w:t>
      </w:r>
      <w:r>
        <w:t xml:space="preserve">Partner with Universidad Central de Venezuela and Andrés Bello Catholic University to offer subsidized academic subscriptions – projected to gain 300+ new students in Q4.</w:t>
      </w:r>
    </w:p>
    <w:p>
      <w:pPr>
        <w:numPr>
          <w:ilvl w:val="0"/>
          <w:numId w:val="1003"/>
        </w:numPr>
        <w:pStyle w:val="Compact"/>
      </w:pPr>
      <w:r>
        <w:rPr>
          <w:bCs/>
          <w:b/>
        </w:rPr>
        <w:t xml:space="preserve">Venezuela Caracas Community Hub:</w:t>
      </w:r>
      <w:r>
        <w:t xml:space="preserve"> </w:t>
      </w:r>
      <w:r>
        <w:t xml:space="preserve">Create a dedicated online space for Venezuelan readers featuring local market data. This builds community while driving retention (early tests show 41% higher renewal rates).</w:t>
      </w:r>
    </w:p>
    <w:p>
      <w:pPr>
        <w:numPr>
          <w:ilvl w:val="0"/>
          <w:numId w:val="1003"/>
        </w:numPr>
        <w:pStyle w:val="Compact"/>
      </w:pPr>
      <w:r>
        <w:rPr>
          <w:bCs/>
          <w:b/>
        </w:rPr>
        <w:t xml:space="preserve">Payment Innovation:</w:t>
      </w:r>
      <w:r>
        <w:t xml:space="preserve"> </w:t>
      </w:r>
      <w:r>
        <w:t xml:space="preserve">Partner with Venezuelan fintechs to enable mobile money payments in bolívar, reducing USD dependency by 50%.</w:t>
      </w:r>
    </w:p>
    <w:bookmarkEnd w:id="25"/>
    <w:bookmarkStart w:id="26" w:name="Xe7f654cb57cb4d4ea1950abc67a165202238613"/>
    <w:p>
      <w:pPr>
        <w:pStyle w:val="Heading2"/>
      </w:pPr>
      <w:r>
        <w:t xml:space="preserve">VII. Conclusion: The Economist's Vital Role in Venezuela Caracas</w:t>
      </w:r>
    </w:p>
    <w:p>
      <w:pPr>
        <w:pStyle w:val="FirstParagraph"/>
      </w:pPr>
      <w:r>
        <w:t xml:space="preserve">This Sales Report unequivocally demonstrates that The Economist remains indispensable for Venezuela Caracas' economic ecosystem. As the nation navigates a precarious recovery phase, our publication provides the only globally consistent lens for understanding complex market shifts. Our Q3 growth – particularly in corporate and academic sectors – proves that Venezuelans value credible analysis more than ever during economic uncertainty.</w:t>
      </w:r>
    </w:p>
    <w:p>
      <w:pPr>
        <w:pStyle w:val="BodyText"/>
      </w:pPr>
      <w:r>
        <w:t xml:space="preserve">Crucially, The Economist's success in Venezuela Caracas is not merely a sales achievement but a testament to our core mission: delivering impartial global intelligence to those who need it most. With strategic implementation of the recommended initiatives, we project a 25% growth in Venezuela Caracas subscriptions by Q1 2024 – setting the stage for sustainable market leadership.</w:t>
      </w:r>
    </w:p>
    <w:p>
      <w:pPr>
        <w:pStyle w:val="BodyText"/>
      </w:pPr>
      <w:r>
        <w:t xml:space="preserve">As we continue serving readers across Venezuela Caracas, The Economist remains committed to being the trusted source for economic clarity in one of the world's most challenging markets. This Sales Report underscores our resilience and strategic vision as we support Venezuela's journey toward stable economic engagement with the global community.</w:t>
      </w:r>
    </w:p>
    <w:p>
      <w:pPr>
        <w:pStyle w:val="BodyText"/>
      </w:pPr>
      <w:r>
        <w:rPr>
          <w:bCs/>
          <w:b/>
        </w:rPr>
        <w:t xml:space="preserve">Prepared by:</w:t>
      </w:r>
      <w:r>
        <w:t xml:space="preserve"> </w:t>
      </w:r>
      <w:r>
        <w:t xml:space="preserve">International Sales Analytics Team</w:t>
      </w:r>
      <w:r>
        <w:br/>
      </w:r>
      <w:r>
        <w:rPr>
          <w:bCs/>
          <w:b/>
        </w:rPr>
        <w:t xml:space="preserve">Contact:</w:t>
      </w:r>
      <w:r>
        <w:t xml:space="preserve"> </w:t>
      </w:r>
      <w:r>
        <w:t xml:space="preserve">sales.vzla@economist.com | +58 (212)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Venezuela Caracas</dc:title>
  <dc:creator/>
  <dc:language>en</dc:language>
  <cp:keywords/>
  <dcterms:created xsi:type="dcterms:W3CDTF">2026-07-24T07:53:35Z</dcterms:created>
  <dcterms:modified xsi:type="dcterms:W3CDTF">2026-07-24T07:53:35Z</dcterms:modified>
</cp:coreProperties>
</file>

<file path=docProps/custom.xml><?xml version="1.0" encoding="utf-8"?>
<Properties xmlns="http://schemas.openxmlformats.org/officeDocument/2006/custom-properties" xmlns:vt="http://schemas.openxmlformats.org/officeDocument/2006/docPropsVTypes"/>
</file>