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Suite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  <w:r>
        <w:t xml:space="preserve"> </w:t>
      </w:r>
      <w:r>
        <w:t xml:space="preserve">Market</w:t>
      </w:r>
    </w:p>
    <w:bookmarkStart w:id="27" w:name="X3814f94fcfbbe679c2cff6c4c93f3e9a347dde3"/>
    <w:p>
      <w:pPr>
        <w:pStyle w:val="Heading1"/>
      </w:pPr>
      <w:r>
        <w:t xml:space="preserve">Sales Report: Editor Suite Performance in Australia Melbourne Market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Strategy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flagship product, the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, across the vibrant Melbourne market within Australia. The quarter demonstrated exceptional growth trajectory for</w:t>
      </w:r>
      <w:r>
        <w:t xml:space="preserve"> </w:t>
      </w:r>
      <w:r>
        <w:rPr>
          <w:bCs/>
          <w:b/>
        </w:rPr>
        <w:t xml:space="preserve">Editor</w:t>
      </w:r>
      <w:r>
        <w:t xml:space="preserve">, achieving a 34% year-over-year increase in sales revenue specifically within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 This success underscores strategic localization efforts and deep market understanding tailored to Melbourne's unique creative ecosystem.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 </w:t>
      </w:r>
      <w:r>
        <w:t xml:space="preserve">has become the preferred workflow solution for 67% of new enterprise clients in the Greater Melbourne area, solidifying its position as a market leader.</w:t>
      </w:r>
    </w:p>
    <w:bookmarkEnd w:id="20"/>
    <w:bookmarkStart w:id="21" w:name="X9c15efbd7bcf09025e5865ec5d3a7536249dab0"/>
    <w:p>
      <w:pPr>
        <w:pStyle w:val="Heading2"/>
      </w:pPr>
      <w:r>
        <w:t xml:space="preserve">Melbourne Market Performance: Key Highlights</w:t>
      </w:r>
    </w:p>
    <w:p>
      <w:pPr>
        <w:pStyle w:val="FirstParagraph"/>
      </w:pPr>
      <w:r>
        <w:t xml:space="preserve">The Australia Melbourne market continues to be our most dynamic and high-potential region within Australia. Q3 2023 saw remarkable adoption of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, driven by several critical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$1.85M in sales (vs $1.38M in Q2), representing a 34% increase and 62% of total Australia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Onboarded 47 new enterprise clients, including major agencies like McCann Melbourne, The Marketing Arm (Docklands HQ), and leading publishers (e.g., Allen &amp; Unwin's Melbourne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Velocity:</w:t>
      </w:r>
      <w:r>
        <w:t xml:space="preserve"> </w:t>
      </w:r>
      <w:r>
        <w:t xml:space="preserve">Average sales cycle reduced by 22 days compared to Q2, attributed to tailored demos addressing Melbourne-specific workflows (e.g., multilingual content for Asia-Pacific markets).</w:t>
      </w:r>
    </w:p>
    <w:bookmarkEnd w:id="21"/>
    <w:bookmarkStart w:id="22" w:name="Xbc1bce6cd2788c1d59de8a0e82cedb0169bf39e"/>
    <w:p>
      <w:pPr>
        <w:pStyle w:val="Heading2"/>
      </w:pPr>
      <w:r>
        <w:t xml:space="preserve">Why Editor Suite Resonated in Australia Melbourne</w:t>
      </w:r>
    </w:p>
    <w:p>
      <w:pPr>
        <w:pStyle w:val="FirstParagraph"/>
      </w:pPr>
      <w:r>
        <w:t xml:space="preserve">The success of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product in Australia Melbourne stems from hyper-localized strategy. Our sales team conducted 120+ client workshops across key Melbourne hubs (CBD, Docklands, Southbank) to understand pain points. Key insights included: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"We need editing tools that speak Australian English with local grammar conventions and industry jargon,"</w:t>
      </w:r>
      <w:r>
        <w:t xml:space="preserve"> </w:t>
      </w:r>
      <w:r>
        <w:t xml:space="preserve">noted a senior editor at a major Melbourne media group.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 </w:t>
      </w:r>
      <w:r>
        <w:t xml:space="preserve">now includes region-specific language profiles pre-loaded for Australian business, journalism, and creative sectors.</w:t>
      </w:r>
    </w:p>
    <w:p>
      <w:pPr>
        <w:numPr>
          <w:ilvl w:val="0"/>
          <w:numId w:val="1002"/>
        </w:numPr>
        <w:pStyle w:val="Compact"/>
      </w:pPr>
      <w:r>
        <w:t xml:space="preserve">Melbourne’s booming digital content sector (23% growth in 2023 per Creative Industries Council data) required scalable solutions. The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's cloud infrastructure handled peak traffic during Melbourne Fashion Festival campaigns without downtime.</w:t>
      </w:r>
    </w:p>
    <w:p>
      <w:pPr>
        <w:numPr>
          <w:ilvl w:val="0"/>
          <w:numId w:val="1002"/>
        </w:numPr>
        <w:pStyle w:val="Compact"/>
      </w:pPr>
      <w:r>
        <w:t xml:space="preserve">Compliance with Australian privacy laws (e.g., APP 11) was non-negotiable for enterprise clients. Our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product underwent full audit compliance in Q2, directly contributing to enterprise sales in Melbourne.</w:t>
      </w:r>
    </w:p>
    <w:bookmarkEnd w:id="22"/>
    <w:bookmarkStart w:id="23" w:name="australia-melbourne-regional-analysis"/>
    <w:p>
      <w:pPr>
        <w:pStyle w:val="Heading2"/>
      </w:pPr>
      <w:r>
        <w:t xml:space="preserve">Australia Melbourne Regional Analysis</w:t>
      </w:r>
    </w:p>
    <w:p>
      <w:pPr>
        <w:pStyle w:val="FirstParagraph"/>
      </w:pPr>
      <w:r>
        <w:t xml:space="preserve">The Australia Melbourne region delivered 37% of our total global new business pipeline this quarter. Key verticals driving growth:</w:t>
      </w:r>
    </w:p>
    <w:p>
      <w:pPr>
        <w:pStyle w:val="BodyText"/>
      </w:pPr>
      <w:r>
        <w:t xml:space="preserve">Industry Vertical</w:t>
      </w:r>
    </w:p>
    <w:p>
      <w:pPr>
        <w:pStyle w:val="BodyText"/>
      </w:pPr>
      <w:r>
        <w:t xml:space="preserve">Revenue Share (Q3)</w:t>
      </w:r>
    </w:p>
    <w:p>
      <w:pPr>
        <w:pStyle w:val="BodyText"/>
      </w:pPr>
      <w:r>
        <w:t xml:space="preserve">Growth vs Q2</w:t>
      </w:r>
    </w:p>
    <w:p>
      <w:pPr>
        <w:pStyle w:val="BodyText"/>
      </w:pPr>
      <w:r>
        <w:t xml:space="preserve">Media &amp; Publishing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Digital Agencies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Educational Institutions (e.g., RMIT, Monash)18%+56%</w:t>
      </w:r>
    </w:p>
    <w:p>
      <w:pPr>
        <w:pStyle w:val="BodyText"/>
      </w:pPr>
      <w:r>
        <w:t xml:space="preserve">Government &amp; Public Sector</w:t>
      </w:r>
    </w:p>
    <w:p>
      <w:pPr>
        <w:pStyle w:val="BodyText"/>
      </w:pPr>
      <w:r>
        <w:t xml:space="preserve">9%</w:t>
      </w:r>
    </w:p>
    <w:p>
      <w:pPr>
        <w:pStyle w:val="BodyText"/>
      </w:pPr>
      <w:r>
        <w:t xml:space="preserve">+17%</w:t>
      </w:r>
    </w:p>
    <w:p>
      <w:pPr>
        <w:pStyle w:val="BodyText"/>
      </w:pPr>
      <w:r>
        <w:t xml:space="preserve">The digital agency vertical surged due to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's integration with Melbourne-based tools like Canva for Teams and Adobe Experience Cloud – a direct result of feedback from our Melbourne sales engineers. This vertical now accounts for 31% of total revenue in Australia Melbourne, up from 22% in Q1.</w:t>
      </w:r>
    </w:p>
    <w:bookmarkEnd w:id="23"/>
    <w:bookmarkStart w:id="24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While performance was strong, two challenges emerged that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addresses head-on: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Sydney Competition Pressure:</w:t>
      </w:r>
      <w:r>
        <w:t xml:space="preserve"> </w:t>
      </w:r>
      <w:r>
        <w:t xml:space="preserve">Competitors aggressively undercut pricing in Sydney. Our Melbourne sales team countered by emphasizing localized value (e.g., "Editor Suite reduces editorial errors by 28% for Australian clients" – backed by client case studies), resulting in a 15% higher average deal size than Sydney.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Onboarding Complexity:</w:t>
      </w:r>
      <w:r>
        <w:t xml:space="preserve"> </w:t>
      </w:r>
      <w:r>
        <w:t xml:space="preserve">Early adopters requested simplified setup for remote teams. Our Melbourne-based product team delivered a "Melbourne Launch Pack" (custom templates, local time zone support, and dedicated APAC onboarding specialists), reducing setup time by 40%.</w:t>
      </w:r>
    </w:p>
    <w:bookmarkEnd w:id="24"/>
    <w:bookmarkStart w:id="25" w:name="X6ef18167ff13584db7f65596a1ad523e42df5d2"/>
    <w:p>
      <w:pPr>
        <w:pStyle w:val="Heading2"/>
      </w:pPr>
      <w:r>
        <w:t xml:space="preserve">Recommendations for Australia Melbourne Growth</w:t>
      </w:r>
    </w:p>
    <w:p>
      <w:pPr>
        <w:pStyle w:val="FirstParagraph"/>
      </w:pPr>
      <w:r>
        <w:t xml:space="preserve">Based on this Sales Report data, we recommend the following focused initiatives to dominate the Australia Melbourne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Melbourne Events:</w:t>
      </w:r>
      <w:r>
        <w:t xml:space="preserve"> </w:t>
      </w:r>
      <w:r>
        <w:t xml:space="preserve">Secure premier sponsorship at MIPIM Australia (Melbourne) and Australian Book Industry Conference to showcase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 </w:t>
      </w:r>
      <w:r>
        <w:t xml:space="preserve">with live demos tailored to local content creators.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Create Melbourne "Champions" Program:</w:t>
      </w:r>
      <w:r>
        <w:t xml:space="preserve"> </w:t>
      </w:r>
      <w:r>
        <w:t xml:space="preserve">Identify 10 key clients in Melbourne for exclusive co-development of new features (e.g., "Australian Media Compliance Mode"), turning them into vocal advocates.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Editor Suite</w:t>
      </w:r>
      <w:r>
        <w:t xml:space="preserve">'s Integration with Australian Government Platforms: Partner with Digital Transformation Agency (DTA) for pre-certification, unlocking $300k+ in public sector opportunities in Melbourne alone.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that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 </w:t>
      </w:r>
      <w:r>
        <w:t xml:space="preserve">is not just performing well—it is reshaping the content workflow landscape across Australia Melbourne. The quarter’s success stems from deep market understanding, localized product adaptation, and a sales team embedded within Melbourne’s creative community. As Australia Melbourne continues to lead in digital creativity adoption (projected 12% sector growth in 2024),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product is positioned for sustained dominance. We project a further 30% revenue increase in Q4, with Melbourne accounting for over 40% of our Australian total. The time to deepen investment in Australia Melbourne is now.</w:t>
      </w:r>
    </w:p>
    <w:p>
      <w:pPr>
        <w:pStyle w:val="BodyText"/>
      </w:pPr>
      <w:r>
        <w:rPr>
          <w:iCs/>
          <w:i/>
        </w:rPr>
        <w:t xml:space="preserve">This Sales Report has been prepared using verified data from our CRM (Salesforce), marketing analytics (Google Analytics), and client feedback platforms. All revenue figures are reported in AUD.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 Suite Performance - Australia Melbourne Market</dc:title>
  <dc:creator/>
  <dc:language>en</dc:language>
  <cp:keywords/>
  <dcterms:created xsi:type="dcterms:W3CDTF">2025-12-09T21:21:06Z</dcterms:created>
  <dcterms:modified xsi:type="dcterms:W3CDTF">2025-12-09T21:21:06Z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