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30" w:name="X2a7d83b12735a57c5190901073b0308250a7ef8"/>
    <w:p>
      <w:pPr>
        <w:pStyle w:val="Heading1"/>
      </w:pPr>
      <w:r>
        <w:t xml:space="preserve">Quarterly Sales Report: Editorial Solutions Performance in Australia Sydney Market</w:t>
      </w:r>
    </w:p>
    <w:p>
      <w:pPr>
        <w:pStyle w:val="FirstParagraph"/>
      </w:pPr>
      <w:r>
        <w:rPr>
          <w:bCs/>
          <w:b/>
        </w:rPr>
        <w:t xml:space="preserve">Prepared for:</w:t>
      </w:r>
      <w:r>
        <w:t xml:space="preserve"> </w:t>
      </w:r>
      <w:r>
        <w:t xml:space="preserve">Executive Leadership, Sydney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flagship editorial platform, "Editor," within the dynamic business landscape of Australia Sydney. The quarter marked a significant milestone with a 34% year-over-year revenue increase for Editor in the Sydney market, solidifying its position as the preferred editorial solution for enterprises across New South Wales. This success is attributed to hyper-localized feature development, strategic partnerships with Sydney-based agencies, and exceptional customer retention rates of 89%. The Australia Sydney market has become a critical growth engine for our global editorial suite, demonstrating robust demand for advanced content management tools tailored to Australasian workflows.</w:t>
      </w:r>
    </w:p>
    <w:bookmarkEnd w:id="20"/>
    <w:bookmarkStart w:id="21" w:name="X71bed459f11364c1b7e5a83521891f0d007e87d"/>
    <w:p>
      <w:pPr>
        <w:pStyle w:val="Heading2"/>
      </w:pPr>
      <w:r>
        <w:t xml:space="preserve">Market Context: Why Editor Dominates in Australia Sydney</w:t>
      </w:r>
    </w:p>
    <w:p>
      <w:pPr>
        <w:pStyle w:val="FirstParagraph"/>
      </w:pPr>
      <w:r>
        <w:t xml:space="preserve">Sydney's business ecosystem – home to 40% of Australia's Fortune 500 companies and a thriving startup scene centered around the CBD, Surry Hills, and Parramatta – demands editorial efficiency. The 2023 Australian Bureau of Statistics (ABS) confirms that content creation expenditure in Sydney grew by 18% annually, outpacing national averages. Our "Editor" platform directly addresses Sydney's unique needs: seamless collaboration across global time zones (critical for APAC-US operations), compliance with Australia's Privacy Act 1988, and support for local dialects and terminology. Unlike generic tools, Editor’s Sydney-specific features – including integrated AUS-EN grammar checks and local regulatory templates – have become non-negotiable for enterprises seeking market relevance.</w:t>
      </w:r>
    </w:p>
    <w:bookmarkEnd w:id="21"/>
    <w:bookmarkStart w:id="23" w:name="Xcf68d332063e5bda047cfcc42159cb18abb78bd"/>
    <w:p>
      <w:pPr>
        <w:pStyle w:val="Heading2"/>
      </w:pPr>
      <w:r>
        <w:t xml:space="preserve">Sales Performance Highlights (Sydney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w:t>
            </w:r>
          </w:p>
        </w:tc>
      </w:tr>
      <w:tr>
        <w:tc>
          <w:tcPr/>
          <w:p>
            <w:pPr>
              <w:pStyle w:val="Compact"/>
              <w:jc w:val="left"/>
            </w:pPr>
            <w:r>
              <w:t xml:space="preserve">New Enterprise Contracts (Sydney)</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Revenue from Sydney Market</w:t>
            </w:r>
          </w:p>
        </w:tc>
        <w:tc>
          <w:tcPr/>
          <w:p>
            <w:pPr>
              <w:pStyle w:val="Compact"/>
              <w:jc w:val="left"/>
            </w:pPr>
            <w:r>
              <w:t xml:space="preserve">$1.28M AUD</w:t>
            </w:r>
          </w:p>
        </w:tc>
        <w:tc>
          <w:tcPr/>
          <w:p>
            <w:pPr>
              <w:pStyle w:val="Compact"/>
              <w:jc w:val="left"/>
            </w:pPr>
            <w:r>
              <w:t xml:space="preserve">$956K AUD</w:t>
            </w:r>
          </w:p>
        </w:tc>
        <w:tc>
          <w:tcPr/>
          <w:p>
            <w:pPr>
              <w:pStyle w:val="Compact"/>
              <w:jc w:val="left"/>
            </w:pPr>
            <w:r>
              <w:t xml:space="preserve">+34.0%</w:t>
            </w:r>
          </w:p>
        </w:tc>
      </w:tr>
      <w:tr>
        <w:tc>
          <w:tcPr/>
          <w:p>
            <w:pPr>
              <w:pStyle w:val="Compact"/>
              <w:jc w:val="left"/>
            </w:pPr>
            <w:r>
              <w:t xml:space="preserve">CAC (Customer Acquisition Cost)</w:t>
            </w:r>
          </w:p>
        </w:tc>
        <w:tc>
          <w:tcPr/>
          <w:p>
            <w:pPr>
              <w:pStyle w:val="Compact"/>
              <w:jc w:val="left"/>
            </w:pPr>
            <w:r>
              <w:t xml:space="preserve">$18,200 AUD</w:t>
            </w:r>
          </w:p>
        </w:tc>
        <w:tc>
          <w:tcPr/>
          <w:p>
            <w:pPr>
              <w:pStyle w:val="Compact"/>
              <w:jc w:val="left"/>
            </w:pPr>
            <w:r>
              <w:t xml:space="preserve">$22,100 AUD</w:t>
            </w:r>
          </w:p>
        </w:tc>
        <w:tc>
          <w:tcPr/>
          <w:p>
            <w:pPr>
              <w:pStyle w:val="Compact"/>
              <w:jc w:val="left"/>
            </w:pPr>
            <w:r>
              <w:t xml:space="preserve">-17.6%</w:t>
            </w:r>
          </w:p>
        </w:tc>
      </w:tr>
      <w:tr>
        <w:tc>
          <w:tcPr/>
          <w:p>
            <w:pPr>
              <w:pStyle w:val="Compact"/>
              <w:jc w:val="left"/>
            </w:pPr>
            <w:r>
              <w:t xml:space="preserve">Net Revenue Retention (NRR)</w:t>
            </w:r>
          </w:p>
        </w:tc>
        <w:tc>
          <w:tcPr/>
          <w:p>
            <w:pPr>
              <w:pStyle w:val="Compact"/>
              <w:jc w:val="left"/>
            </w:pPr>
            <w:r>
              <w:t xml:space="preserve">124%</w:t>
            </w:r>
          </w:p>
        </w:tc>
        <w:tc>
          <w:tcPr/>
          <w:p>
            <w:pPr>
              <w:pStyle w:val="Compact"/>
              <w:jc w:val="left"/>
            </w:pPr>
            <w:r>
              <w:t xml:space="preserve">118%</w:t>
            </w:r>
          </w:p>
        </w:tc>
        <w:tc>
          <w:tcPr/>
          <w:p>
            <w:pPr>
              <w:pStyle w:val="Compact"/>
              <w:jc w:val="left"/>
            </w:pPr>
            <w:r>
              <w:t xml:space="preserve">+6.0 pts</w:t>
            </w:r>
          </w:p>
        </w:tc>
      </w:tr>
    </w:tbl>
    <w:bookmarkStart w:id="22" w:name="key-drivers-of-sydney-success"/>
    <w:p>
      <w:pPr>
        <w:pStyle w:val="Heading3"/>
      </w:pPr>
      <w:r>
        <w:t xml:space="preserve">Key Drivers of Sydney Success</w:t>
      </w:r>
    </w:p>
    <w:p>
      <w:pPr>
        <w:numPr>
          <w:ilvl w:val="0"/>
          <w:numId w:val="1001"/>
        </w:numPr>
        <w:pStyle w:val="Compact"/>
      </w:pPr>
      <w:r>
        <w:rPr>
          <w:bCs/>
          <w:b/>
        </w:rPr>
        <w:t xml:space="preserve">Sydney-Powered Feature Rollouts:</w:t>
      </w:r>
      <w:r>
        <w:t xml:space="preserve"> </w:t>
      </w:r>
      <w:r>
        <w:t xml:space="preserve">The Q2 release of "Editor: Australia Compliance Suite" – featuring templates for ACCC guidelines and localised accessibility standards (WCAG 2.1 AU) – drove 67% of new Sydney enterprise sign-ups.</w:t>
      </w:r>
    </w:p>
    <w:p>
      <w:pPr>
        <w:numPr>
          <w:ilvl w:val="0"/>
          <w:numId w:val="1001"/>
        </w:numPr>
        <w:pStyle w:val="Compact"/>
      </w:pPr>
      <w:r>
        <w:rPr>
          <w:bCs/>
          <w:b/>
        </w:rPr>
        <w:t xml:space="preserve">Strategic Local Partnerships:</w:t>
      </w:r>
      <w:r>
        <w:t xml:space="preserve"> </w:t>
      </w:r>
      <w:r>
        <w:t xml:space="preserve">Collaborations with Sydney-based agencies like</w:t>
      </w:r>
      <w:r>
        <w:t xml:space="preserve"> </w:t>
      </w:r>
      <w:r>
        <w:rPr>
          <w:iCs/>
          <w:i/>
        </w:rPr>
        <w:t xml:space="preserve">Creative Synergy Group</w:t>
      </w:r>
      <w:r>
        <w:t xml:space="preserve"> </w:t>
      </w:r>
      <w:r>
        <w:t xml:space="preserve">and</w:t>
      </w:r>
      <w:r>
        <w:t xml:space="preserve"> </w:t>
      </w:r>
      <w:r>
        <w:rPr>
          <w:iCs/>
          <w:i/>
        </w:rPr>
        <w:t xml:space="preserve">Momentum Digital</w:t>
      </w:r>
      <w:r>
        <w:t xml:space="preserve"> </w:t>
      </w:r>
      <w:r>
        <w:t xml:space="preserve">expanded our reach to 280+ SMEs, generating $340K in referral revenue.</w:t>
      </w:r>
    </w:p>
    <w:p>
      <w:pPr>
        <w:numPr>
          <w:ilvl w:val="0"/>
          <w:numId w:val="1001"/>
        </w:numPr>
        <w:pStyle w:val="Compact"/>
      </w:pPr>
      <w:r>
        <w:rPr>
          <w:bCs/>
          <w:b/>
        </w:rPr>
        <w:t xml:space="preserve">Tailored Customer Success:</w:t>
      </w:r>
      <w:r>
        <w:t xml:space="preserve"> </w:t>
      </w:r>
      <w:r>
        <w:t xml:space="preserve">Dedicated Sydney-based onboarding team reduced implementation time by 40% compared to global benchmarks, critical for businesses operating across AEST and UTC+11 time zones.</w:t>
      </w:r>
    </w:p>
    <w:bookmarkEnd w:id="22"/>
    <w:bookmarkEnd w:id="23"/>
    <w:bookmarkStart w:id="26" w:name="X4531be89809c4279b6c24e9d2ee6b181a5e9119"/>
    <w:p>
      <w:pPr>
        <w:pStyle w:val="Heading2"/>
      </w:pPr>
      <w:r>
        <w:t xml:space="preserve">Customer Impact: Real-World Value in Australia Sydney</w:t>
      </w:r>
    </w:p>
    <w:p>
      <w:pPr>
        <w:pStyle w:val="FirstParagraph"/>
      </w:pPr>
      <w:r>
        <w:t xml:space="preserve">The following case studies exemplify Editor's market impact:</w:t>
      </w:r>
    </w:p>
    <w:bookmarkStart w:id="24" w:name="X0f932434d4a160b1b9853281049b7cdd9412bc3"/>
    <w:p>
      <w:pPr>
        <w:pStyle w:val="Heading3"/>
      </w:pPr>
      <w:r>
        <w:t xml:space="preserve">Case Study 1: Banking &amp; Finance Sector (Sydney CBD)</w:t>
      </w:r>
    </w:p>
    <w:p>
      <w:pPr>
        <w:pStyle w:val="FirstParagraph"/>
      </w:pPr>
      <w:r>
        <w:rPr>
          <w:iCs/>
          <w:i/>
        </w:rPr>
        <w:t xml:space="preserve">Client:</w:t>
      </w:r>
      <w:r>
        <w:t xml:space="preserve"> </w:t>
      </w:r>
      <w:r>
        <w:t xml:space="preserve">Regional Bank (Sydney HQ, 12 offices across NSW)</w:t>
      </w:r>
      <w:r>
        <w:br/>
      </w:r>
      <w:r>
        <w:rPr>
          <w:iCs/>
          <w:i/>
        </w:rPr>
        <w:t xml:space="preserve">Pain Point:</w:t>
      </w:r>
      <w:r>
        <w:t xml:space="preserve"> </w:t>
      </w:r>
      <w:r>
        <w:t xml:space="preserve">Manual content approvals caused 72-hour delays for regulatory documents.</w:t>
      </w:r>
      <w:r>
        <w:br/>
      </w:r>
      <w:r>
        <w:rPr>
          <w:iCs/>
          <w:i/>
        </w:rPr>
        <w:t xml:space="preserve">Solution:</w:t>
      </w:r>
      <w:r>
        <w:t xml:space="preserve"> </w:t>
      </w:r>
      <w:r>
        <w:t xml:space="preserve">Implemented Editor's automated workflow engine with AML compliance checks.</w:t>
      </w:r>
      <w:r>
        <w:br/>
      </w:r>
      <w:r>
        <w:rPr>
          <w:iCs/>
          <w:i/>
        </w:rPr>
        <w:t xml:space="preserve">Result:</w:t>
      </w:r>
      <w:r>
        <w:t xml:space="preserve"> </w:t>
      </w:r>
      <w:r>
        <w:t xml:space="preserve">Reduced document turnaround from 5 days to 6 hours; achieved full compliance with ASIC guidelines. Projected annual savings: $420K AUD.</w:t>
      </w:r>
    </w:p>
    <w:bookmarkEnd w:id="24"/>
    <w:bookmarkStart w:id="25" w:name="case-study-2-creative-agency-surry-hills"/>
    <w:p>
      <w:pPr>
        <w:pStyle w:val="Heading3"/>
      </w:pPr>
      <w:r>
        <w:t xml:space="preserve">Case Study 2: Creative Agency (Surry Hills)</w:t>
      </w:r>
    </w:p>
    <w:p>
      <w:pPr>
        <w:pStyle w:val="FirstParagraph"/>
      </w:pPr>
      <w:r>
        <w:rPr>
          <w:iCs/>
          <w:i/>
        </w:rPr>
        <w:t xml:space="preserve">Client:</w:t>
      </w:r>
      <w:r>
        <w:t xml:space="preserve"> </w:t>
      </w:r>
      <w:r>
        <w:t xml:space="preserve">Award-winning marketing agency serving global clients from Sydney.</w:t>
      </w:r>
      <w:r>
        <w:br/>
      </w:r>
      <w:r>
        <w:rPr>
          <w:iCs/>
          <w:i/>
        </w:rPr>
        <w:t xml:space="preserve">Pain Point:</w:t>
      </w:r>
      <w:r>
        <w:t xml:space="preserve"> </w:t>
      </w:r>
      <w:r>
        <w:t xml:space="preserve">Inefficient collaboration across 15+ team members across time zones.</w:t>
      </w:r>
      <w:r>
        <w:br/>
      </w:r>
      <w:r>
        <w:rPr>
          <w:iCs/>
          <w:i/>
        </w:rPr>
        <w:t xml:space="preserve">Solution:</w:t>
      </w:r>
      <w:r>
        <w:t xml:space="preserve"> </w:t>
      </w:r>
      <w:r>
        <w:t xml:space="preserve">Deployed Editor's real-time co-editing with version control and Australian English grammar checks.</w:t>
      </w:r>
      <w:r>
        <w:br/>
      </w:r>
      <w:r>
        <w:rPr>
          <w:iCs/>
          <w:i/>
        </w:rPr>
        <w:t xml:space="preserve">Result:</w:t>
      </w:r>
      <w:r>
        <w:t xml:space="preserve"> </w:t>
      </w:r>
      <w:r>
        <w:t xml:space="preserve">Project delivery accelerated by 38%; client satisfaction scores rose from 4.2 to 4.8/5.0 within one quarter.</w:t>
      </w:r>
    </w:p>
    <w:bookmarkEnd w:id="25"/>
    <w:bookmarkEnd w:id="26"/>
    <w:bookmarkStart w:id="27" w:name="Xb7e75f0cb4825484e395ed12b6a77669cdaee16"/>
    <w:p>
      <w:pPr>
        <w:pStyle w:val="Heading2"/>
      </w:pPr>
      <w:r>
        <w:t xml:space="preserve">Competitive Landscape in Australia Sydney</w:t>
      </w:r>
    </w:p>
    <w:p>
      <w:pPr>
        <w:pStyle w:val="FirstParagraph"/>
      </w:pPr>
      <w:r>
        <w:t xml:space="preserve">Sydney's editorial software market is highly competitive, with international players like Adobe Workfront and local entrants vying for market share. However, Editor’s localized approach creates an insurmountable advantage. While competitors offer generic solutions, our Sydney development team embedded features like support for Australian spelling ("colour" vs "color"), integration with local payment gateways (e.g., Afterpay), and compliance with the Australian Consumer Law – all directly responding to feedback from Sydney enterprise clients. This market-specific customization has driven a 28-point increase in Net Promoter Score (NPS) among Sydney users compared to global averages.</w:t>
      </w:r>
    </w:p>
    <w:bookmarkEnd w:id="27"/>
    <w:bookmarkStart w:id="28" w:name="X12e62f5d5c5be8e328430a5640a6b4a859fece4"/>
    <w:p>
      <w:pPr>
        <w:pStyle w:val="Heading2"/>
      </w:pPr>
      <w:r>
        <w:t xml:space="preserve">Strategic Imperatives for Australia Sydney</w:t>
      </w:r>
    </w:p>
    <w:p>
      <w:pPr>
        <w:pStyle w:val="FirstParagraph"/>
      </w:pPr>
      <w:r>
        <w:t xml:space="preserve">To sustain growth, we will focus on three pillars:</w:t>
      </w:r>
    </w:p>
    <w:p>
      <w:pPr>
        <w:numPr>
          <w:ilvl w:val="0"/>
          <w:numId w:val="1002"/>
        </w:numPr>
        <w:pStyle w:val="Compact"/>
      </w:pPr>
      <w:r>
        <w:rPr>
          <w:bCs/>
          <w:b/>
        </w:rPr>
        <w:t xml:space="preserve">Deepen Sydney Market Penetration:</w:t>
      </w:r>
      <w:r>
        <w:t xml:space="preserve"> </w:t>
      </w:r>
      <w:r>
        <w:t xml:space="preserve">Target the 1,200+ SMEs in the Greater Sydney region with tailored pricing tiers for agencies and media companies.</w:t>
      </w:r>
    </w:p>
    <w:p>
      <w:pPr>
        <w:numPr>
          <w:ilvl w:val="0"/>
          <w:numId w:val="1002"/>
        </w:numPr>
        <w:pStyle w:val="Compact"/>
      </w:pPr>
      <w:r>
        <w:rPr>
          <w:bCs/>
          <w:b/>
        </w:rPr>
        <w:t xml:space="preserve">Enhance Local Integration Ecosystem:</w:t>
      </w:r>
      <w:r>
        <w:t xml:space="preserve"> </w:t>
      </w:r>
      <w:r>
        <w:t xml:space="preserve">Develop native connectors for Australian platforms like Xero, Canva (AU), and Service NSW to streamline workflows.</w:t>
      </w:r>
    </w:p>
    <w:p>
      <w:pPr>
        <w:numPr>
          <w:ilvl w:val="0"/>
          <w:numId w:val="1002"/>
        </w:numPr>
        <w:pStyle w:val="Compact"/>
      </w:pPr>
      <w:r>
        <w:rPr>
          <w:bCs/>
          <w:b/>
        </w:rPr>
        <w:t xml:space="preserve">Leverage Sydney as a Global Testbed:</w:t>
      </w:r>
      <w:r>
        <w:t xml:space="preserve"> </w:t>
      </w:r>
      <w:r>
        <w:t xml:space="preserve">Use Australia Sydney's diverse enterprise base to pilot features later deployed globally, accelerating innovation cycles by 22%.</w:t>
      </w:r>
    </w:p>
    <w:bookmarkEnd w:id="28"/>
    <w:bookmarkStart w:id="29" w:name="conclusion"/>
    <w:p>
      <w:pPr>
        <w:pStyle w:val="Heading2"/>
      </w:pPr>
      <w:r>
        <w:t xml:space="preserve">Conclusion</w:t>
      </w:r>
    </w:p>
    <w:p>
      <w:pPr>
        <w:pStyle w:val="FirstParagraph"/>
      </w:pPr>
      <w:r>
        <w:t xml:space="preserve">The success of Editor in the Australia Sydney market is not incidental – it is the result of deliberate localisation, cultural understanding, and strategic investment. Sydney has evolved from a regional account into our most profitable market segment, proving that editorial technology must be built *for* specific economies to thrive. As enterprises across Australia Sydney prioritize content velocity and compliance in 2024, Editor’s position as the market leader is unshakable. We project sustained 30%+ annual growth in Sydney through Q4, driven by demand from the expanding fintech, healthcare, and creative sectors. This Sales Report underscores that "Editor" isn’t just a product; it’s the engine powering Australia Sydney’s digital content revolution.</w:t>
      </w:r>
    </w:p>
    <w:p>
      <w:pPr>
        <w:pStyle w:val="BodyText"/>
      </w:pPr>
      <w:r>
        <w:rPr>
          <w:bCs/>
          <w:b/>
        </w:rPr>
        <w:t xml:space="preserve">Prepared By:</w:t>
      </w:r>
      <w:r>
        <w:t xml:space="preserve"> </w:t>
      </w:r>
      <w:r>
        <w:t xml:space="preserve">Global Sales Operations Team</w:t>
      </w:r>
      <w:r>
        <w:br/>
      </w:r>
      <w:r>
        <w:rPr>
          <w:bCs/>
          <w:b/>
        </w:rPr>
        <w:t xml:space="preserve">Contact:</w:t>
      </w:r>
      <w:r>
        <w:t xml:space="preserve"> </w:t>
      </w:r>
      <w:r>
        <w:t xml:space="preserve">sydney.sales@editor.com.au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Editorial Excellence in Australia Sydney Market</dc:title>
  <dc:creator/>
  <dc:language>en</dc:language>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